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001-10960 </w:t>
      </w:r>
    </w:p>
    <w:p>
      <w:pPr>
        <w:pStyle w:val="TextBody"/>
        <w:bidi w:val="0"/>
        <w:spacing w:before="0" w:after="0"/>
        <w:jc w:val="center"/>
        <w:rPr/>
      </w:pPr>
      <w:r>
        <w:rPr/>
        <w:drawing>
          <wp:inline distT="0" distB="0" distL="0" distR="0">
            <wp:extent cx="31623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914400"/>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4"/>
          <w:u w:val="single"/>
        </w:rPr>
        <w:t>FIRSTCASH HOLDINGS,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404"/>
        <w:gridCol w:w="356"/>
        <w:gridCol w:w="356"/>
        <w:gridCol w:w="356"/>
        <w:gridCol w:w="356"/>
        <w:gridCol w:w="356"/>
        <w:gridCol w:w="356"/>
        <w:gridCol w:w="356"/>
        <w:gridCol w:w="356"/>
        <w:gridCol w:w="356"/>
        <w:gridCol w:w="356"/>
        <w:gridCol w:w="356"/>
        <w:gridCol w:w="109"/>
        <w:gridCol w:w="109"/>
        <w:gridCol w:w="109"/>
        <w:gridCol w:w="793"/>
        <w:gridCol w:w="793"/>
        <w:gridCol w:w="1129"/>
      </w:tblGrid>
      <w:tr>
        <w:trPr/>
        <w:tc>
          <w:tcPr>
            <w:tcW w:w="40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87-3920732</w:t>
            </w:r>
          </w:p>
        </w:tc>
      </w:tr>
      <w:tr>
        <w:trPr/>
        <w:tc>
          <w:tcPr>
            <w:tcW w:w="43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West 7th Street, Fort Worth, Texas 76102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(817) 335-1100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84"/>
        <w:gridCol w:w="1128"/>
        <w:gridCol w:w="1142"/>
        <w:gridCol w:w="564"/>
        <w:gridCol w:w="564"/>
        <w:gridCol w:w="566"/>
        <w:gridCol w:w="1118"/>
        <w:gridCol w:w="1118"/>
        <w:gridCol w:w="1589"/>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FCFS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Securities Exchange Act of 1934.</w:t>
      </w:r>
    </w:p>
    <w:tbl>
      <w:tblPr>
        <w:tblW w:w="4928"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 shell company (as defined in Rule 12b-2 of the Securities Exchange Act of 1934).     </w:t>
      </w:r>
      <w:r>
        <w:rPr>
          <w:color w:val="000000"/>
        </w:rPr>
        <w:t xml:space="preserve">☐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22, 2026, there were 43,371,800 shares of common stock outstanding.</w:t>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FOR THE QUARTER ENDED JUNE 30,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INDEX</w:t>
      </w:r>
    </w:p>
    <w:tbl>
      <w:tblPr>
        <w:tblW w:w="8530" w:type="dxa"/>
        <w:jc w:val="center"/>
        <w:tblInd w:w="0" w:type="dxa"/>
        <w:tblLayout w:type="fixed"/>
        <w:tblCellMar>
          <w:top w:w="28" w:type="dxa"/>
          <w:left w:w="28" w:type="dxa"/>
          <w:bottom w:w="28" w:type="dxa"/>
          <w:right w:w="28" w:type="dxa"/>
        </w:tblCellMar>
      </w:tblPr>
      <w:tblGrid>
        <w:gridCol w:w="299"/>
        <w:gridCol w:w="262"/>
        <w:gridCol w:w="263"/>
        <w:gridCol w:w="2443"/>
        <w:gridCol w:w="2443"/>
        <w:gridCol w:w="2448"/>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3">
              <w:r>
                <w:rPr>
                  <w:rStyle w:val="InternetLink"/>
                  <w:rFonts w:ascii="Times New Roman;serif" w:hAnsi="Times New Roman;serif"/>
                  <w:b w:val="false"/>
                  <w:color w:val="0000FF"/>
                  <w:sz w:val="20"/>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3">
              <w:r>
                <w:rPr>
                  <w:rStyle w:val="InternetLink"/>
                  <w:rFonts w:ascii="Times New Roman;serif" w:hAnsi="Times New Roman;serif"/>
                  <w:b w:val="false"/>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6">
              <w:r>
                <w:rPr>
                  <w:rStyle w:val="InternetLink"/>
                  <w:rFonts w:ascii="Times New Roman;serif" w:hAnsi="Times New Roman;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6">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6">
              <w:r>
                <w:rPr>
                  <w:rStyle w:val="InternetLink"/>
                  <w:rFonts w:ascii="Times New Roman;serif" w:hAnsi="Times New Roman;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9">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9">
              <w:r>
                <w:rPr>
                  <w:rStyle w:val="InternetLink"/>
                  <w:rFonts w:ascii="Times New Roman;serif" w:hAnsi="Times New Roman;serif"/>
                  <w:b w:val="false"/>
                  <w:color w:val="0000FF"/>
                  <w:sz w:val="20"/>
                  <w:u w:val="single"/>
                </w:rPr>
                <w:t>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22">
              <w:r>
                <w:rPr>
                  <w:rStyle w:val="InternetLink"/>
                  <w:rFonts w:ascii="Times New Roman;serif" w:hAnsi="Times New Roman;serif"/>
                  <w:b w:val="false"/>
                  <w:color w:val="0000FF"/>
                  <w:sz w:val="20"/>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22">
              <w:r>
                <w:rPr>
                  <w:rStyle w:val="InternetLink"/>
                  <w:rFonts w:ascii="Times New Roman;serif" w:hAnsi="Times New Roman;serif"/>
                  <w:b w:val="false"/>
                  <w:color w:val="0000FF"/>
                  <w:sz w:val="20"/>
                  <w:u w:val="single"/>
                </w:rPr>
                <w:t>2</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25">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25">
              <w:r>
                <w:rPr>
                  <w:rStyle w:val="InternetLink"/>
                  <w:rFonts w:ascii="Times New Roman;serif" w:hAnsi="Times New Roman;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28">
              <w:r>
                <w:rPr>
                  <w:rStyle w:val="InternetLink"/>
                  <w:rFonts w:ascii="Times New Roman;serif" w:hAnsi="Times New Roman;serif"/>
                  <w:b w:val="false"/>
                  <w:color w:val="0000FF"/>
                  <w:sz w:val="20"/>
                  <w:u w:val="single"/>
                </w:rPr>
                <w:t>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28">
              <w:r>
                <w:rPr>
                  <w:rStyle w:val="InternetLink"/>
                  <w:rFonts w:ascii="Times New Roman;serif" w:hAnsi="Times New Roman;serif"/>
                  <w:b w:val="false"/>
                  <w:color w:val="0000FF"/>
                  <w:sz w:val="20"/>
                  <w:u w:val="single"/>
                </w:rPr>
                <w:t>4</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31">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31">
              <w:r>
                <w:rPr>
                  <w:rStyle w:val="InternetLink"/>
                  <w:rFonts w:ascii="Times New Roman;serif" w:hAnsi="Times New Roman;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34">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34">
              <w:r>
                <w:rPr>
                  <w:rStyle w:val="InternetLink"/>
                  <w:rFonts w:ascii="Times New Roman;serif" w:hAnsi="Times New Roman;serif"/>
                  <w:b w:val="false"/>
                  <w:color w:val="0000FF"/>
                  <w:sz w:val="20"/>
                  <w:u w:val="single"/>
                </w:rPr>
                <w:t>7</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64">
              <w:r>
                <w:rPr>
                  <w:rStyle w:val="InternetLink"/>
                  <w:rFonts w:ascii="Times New Roman;serif" w:hAnsi="Times New Roman;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64">
              <w:r>
                <w:rPr>
                  <w:rStyle w:val="InternetLink"/>
                  <w:rFonts w:ascii="Times New Roman;serif" w:hAnsi="Times New Roman;serif"/>
                  <w:b w:val="false"/>
                  <w:color w:val="0000FF"/>
                  <w:sz w:val="20"/>
                  <w:u w:val="single"/>
                </w:rPr>
                <w:t>27</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88">
              <w:r>
                <w:rPr>
                  <w:rStyle w:val="InternetLink"/>
                  <w:rFonts w:ascii="Times New Roman;serif" w:hAnsi="Times New Roman;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88">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88">
              <w:r>
                <w:rPr>
                  <w:rStyle w:val="InternetLink"/>
                  <w:rFonts w:ascii="Times New Roman;serif" w:hAnsi="Times New Roman;serif"/>
                  <w:b w:val="false"/>
                  <w:color w:val="0000FF"/>
                  <w:sz w:val="20"/>
                  <w:u w:val="single"/>
                </w:rPr>
                <w:t>49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1">
              <w:r>
                <w:rPr>
                  <w:rStyle w:val="InternetLink"/>
                  <w:rFonts w:ascii="Times New Roman;serif" w:hAnsi="Times New Roman;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1">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1">
              <w:r>
                <w:rPr>
                  <w:rStyle w:val="InternetLink"/>
                  <w:rFonts w:ascii="Times New Roman;serif" w:hAnsi="Times New Roman;serif"/>
                  <w:b w:val="false"/>
                  <w:color w:val="0000FF"/>
                  <w:sz w:val="20"/>
                  <w:u w:val="single"/>
                </w:rPr>
                <w:t>49</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4">
              <w:r>
                <w:rPr>
                  <w:rStyle w:val="InternetLink"/>
                  <w:rFonts w:ascii="Times New Roman;serif" w:hAnsi="Times New Roman;serif"/>
                  <w:b w:val="false"/>
                  <w:color w:val="0000FF"/>
                  <w:sz w:val="20"/>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4">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7">
              <w:r>
                <w:rPr>
                  <w:rStyle w:val="InternetLink"/>
                  <w:rFonts w:ascii="Times New Roman;serif" w:hAnsi="Times New Roman;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7">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97">
              <w:r>
                <w:rPr>
                  <w:rStyle w:val="InternetLink"/>
                  <w:rFonts w:ascii="Times New Roman;serif" w:hAnsi="Times New Roman;serif"/>
                  <w:b w:val="false"/>
                  <w:color w:val="0000FF"/>
                  <w:sz w:val="20"/>
                  <w:u w:val="single"/>
                </w:rPr>
                <w:t>50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0">
              <w:r>
                <w:rPr>
                  <w:rStyle w:val="InternetLink"/>
                  <w:rFonts w:ascii="Times New Roman;serif" w:hAnsi="Times New Roman;serif"/>
                  <w:b w:val="false"/>
                  <w:color w:val="0000FF"/>
                  <w:sz w:val="20"/>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0">
              <w:r>
                <w:rPr>
                  <w:rStyle w:val="InternetLink"/>
                  <w:rFonts w:ascii="Times New Roman;serif" w:hAnsi="Times New Roman;serif"/>
                  <w:b w:val="false"/>
                  <w:color w:val="0000FF"/>
                  <w:sz w:val="20"/>
                  <w:u w:val="single"/>
                </w:rPr>
                <w:t>50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3">
              <w:r>
                <w:rPr>
                  <w:rStyle w:val="InternetLink"/>
                  <w:rFonts w:ascii="Times New Roman;serif" w:hAnsi="Times New Roman;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3">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3">
              <w:r>
                <w:rPr>
                  <w:rStyle w:val="InternetLink"/>
                  <w:rFonts w:ascii="Times New Roman;serif" w:hAnsi="Times New Roman;serif"/>
                  <w:b w:val="false"/>
                  <w:color w:val="0000FF"/>
                  <w:sz w:val="20"/>
                  <w:u w:val="single"/>
                </w:rPr>
                <w:t>50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6">
              <w:r>
                <w:rPr>
                  <w:rStyle w:val="InternetLink"/>
                  <w:rFonts w:ascii="Times New Roman;serif" w:hAnsi="Times New Roman;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6">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6">
              <w:r>
                <w:rPr>
                  <w:rStyle w:val="InternetLink"/>
                  <w:rFonts w:ascii="Times New Roman;serif" w:hAnsi="Times New Roman;serif"/>
                  <w:b w:val="false"/>
                  <w:color w:val="0000FF"/>
                  <w:sz w:val="20"/>
                  <w:u w:val="single"/>
                </w:rPr>
                <w:t>50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9">
              <w:r>
                <w:rPr>
                  <w:rStyle w:val="InternetLink"/>
                  <w:rFonts w:ascii="Times New Roman;serif" w:hAnsi="Times New Roman;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9">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09">
              <w:r>
                <w:rPr>
                  <w:rStyle w:val="InternetLink"/>
                  <w:rFonts w:ascii="Times New Roman;serif" w:hAnsi="Times New Roman;serif"/>
                  <w:b w:val="false"/>
                  <w:color w:val="0000FF"/>
                  <w:sz w:val="20"/>
                  <w:u w:val="single"/>
                </w:rPr>
                <w:t>50</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12">
              <w:r>
                <w:rPr>
                  <w:rStyle w:val="InternetLink"/>
                  <w:rFonts w:ascii="Times New Roman;serif" w:hAnsi="Times New Roman;serif"/>
                  <w:b w:val="false"/>
                  <w:color w:val="0000FF"/>
                  <w:sz w:val="20"/>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12">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12">
              <w:r>
                <w:rPr>
                  <w:rStyle w:val="InternetLink"/>
                  <w:rFonts w:ascii="Times New Roman;serif" w:hAnsi="Times New Roman;serif"/>
                  <w:b w:val="false"/>
                  <w:color w:val="0000FF"/>
                  <w:sz w:val="20"/>
                  <w:u w:val="single"/>
                </w:rPr>
                <w:t>51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18">
              <w:r>
                <w:rPr>
                  <w:rStyle w:val="InternetLink"/>
                  <w:rFonts w:ascii="Times New Roman;serif" w:hAnsi="Times New Roman;serif"/>
                  <w:b w:val="false"/>
                  <w:color w:val="0000FF"/>
                  <w:sz w:val="20"/>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18">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18">
              <w:r>
                <w:rPr>
                  <w:rStyle w:val="InternetLink"/>
                  <w:rFonts w:ascii="Times New Roman;serif" w:hAnsi="Times New Roman;serif"/>
                  <w:b w:val="false"/>
                  <w:color w:val="0000FF"/>
                  <w:sz w:val="20"/>
                  <w:u w:val="single"/>
                </w:rPr>
                <w:t>51</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21">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121">
              <w:r>
                <w:rPr>
                  <w:rStyle w:val="InternetLink"/>
                  <w:rFonts w:ascii="Times New Roman;serif" w:hAnsi="Times New Roman;serif"/>
                  <w:b w:val="false"/>
                  <w:color w:val="0000FF"/>
                  <w:sz w:val="20"/>
                  <w:u w:val="singl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RISKS AND UNCERTAINTIES THAT MAY AFFECT FUTURE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contains forward-looking statements about the business, financial condition, outlook and prospects of FirstCash Holdings, Inc. and its wholly owned subsidiaries (together, the “Company”) and the Company’s previously announced acquisition of Ramsdens Holdings plc (“Ramsdens”). Forward-looking statements, as that term is defined in the Private Securities Litigation Reform Act of 1995, can be identified by the use of forward-looking terminology such as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quarterly report.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risks related to the acquisition of Ramsdens, in particular, the ability to obtain the necessary shareholder, anti-trust and regulatory approvals, and to satisfy other closing conditions in the expected timeframe, if at all, and the ability to achieve the anticipated benefits from the acquisition of Ramsdens on the anticipated timeline, if at all;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geopolitical conflicts, inflation, elevated interest rates, increased energy costs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contraction in sales activity or store closures at merchant partners of the Company’s retail point-of-sale (“POS”) payment solutions business; the ability of the Company’s retail POS payment solutions business to continue to grow its base of merchant partners; and other risks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quarterly report speak only as of the date of this quarterly report,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96" w:type="dxa"/>
        <w:jc w:val="left"/>
        <w:tblInd w:w="0" w:type="dxa"/>
        <w:tblLayout w:type="fixed"/>
        <w:tblCellMar>
          <w:top w:w="28" w:type="dxa"/>
          <w:left w:w="28" w:type="dxa"/>
          <w:bottom w:w="28" w:type="dxa"/>
          <w:right w:w="28" w:type="dxa"/>
        </w:tblCellMar>
      </w:tblPr>
      <w:tblGrid>
        <w:gridCol w:w="1392"/>
        <w:gridCol w:w="1221"/>
        <w:gridCol w:w="1241"/>
        <w:gridCol w:w="196"/>
        <w:gridCol w:w="886"/>
        <w:gridCol w:w="109"/>
        <w:gridCol w:w="109"/>
        <w:gridCol w:w="109"/>
        <w:gridCol w:w="109"/>
        <w:gridCol w:w="196"/>
        <w:gridCol w:w="871"/>
        <w:gridCol w:w="109"/>
        <w:gridCol w:w="109"/>
        <w:gridCol w:w="109"/>
        <w:gridCol w:w="109"/>
        <w:gridCol w:w="196"/>
        <w:gridCol w:w="871"/>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FIRSTCASH HOLDINGS, INC.</w:t>
            </w:r>
          </w:p>
        </w:tc>
      </w:tr>
      <w:tr>
        <w:trPr/>
        <w:tc>
          <w:tcPr>
            <w:tcW w:w="80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80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897,555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570,493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2,018,712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855,034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2,030,563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5,485,573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 and prepayments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413,119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unsecured credit facility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2,277,039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3,163,781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1,761,131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1,834,886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held in treasury, at cost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(1,219,054)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2,321,792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5,485,573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25" w:type="dxa"/>
        <w:jc w:val="left"/>
        <w:tblInd w:w="0" w:type="dxa"/>
        <w:tblLayout w:type="fixed"/>
        <w:tblCellMar>
          <w:top w:w="28" w:type="dxa"/>
          <w:left w:w="28" w:type="dxa"/>
          <w:bottom w:w="28" w:type="dxa"/>
          <w:right w:w="28" w:type="dxa"/>
        </w:tblCellMar>
      </w:tblPr>
      <w:tblGrid>
        <w:gridCol w:w="1121"/>
        <w:gridCol w:w="985"/>
        <w:gridCol w:w="99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2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FIRSTCASH HOLDINGS, INC.</w:t>
            </w:r>
          </w:p>
        </w:tc>
      </w:tr>
      <w:tr>
        <w:trPr/>
        <w:tc>
          <w:tcPr>
            <w:tcW w:w="832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INCOME</w:t>
            </w:r>
          </w:p>
        </w:tc>
      </w:tr>
      <w:tr>
        <w:trPr/>
        <w:tc>
          <w:tcPr>
            <w:tcW w:w="832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amounts)</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936,097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258,441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1,074,688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2,126,339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285,619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563,668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82,774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119,069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533,669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1,076,051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(gain) on foreign exchange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406,667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803,921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8" w:type="dxa"/>
        <w:jc w:val="left"/>
        <w:tblInd w:w="0" w:type="dxa"/>
        <w:tblLayout w:type="fixed"/>
        <w:tblCellMar>
          <w:top w:w="28" w:type="dxa"/>
          <w:left w:w="28" w:type="dxa"/>
          <w:bottom w:w="28" w:type="dxa"/>
          <w:right w:w="28" w:type="dxa"/>
        </w:tblCellMar>
      </w:tblPr>
      <w:tblGrid>
        <w:gridCol w:w="855"/>
        <w:gridCol w:w="753"/>
        <w:gridCol w:w="762"/>
        <w:gridCol w:w="216"/>
        <w:gridCol w:w="829"/>
        <w:gridCol w:w="120"/>
        <w:gridCol w:w="120"/>
        <w:gridCol w:w="120"/>
        <w:gridCol w:w="120"/>
        <w:gridCol w:w="216"/>
        <w:gridCol w:w="713"/>
        <w:gridCol w:w="120"/>
        <w:gridCol w:w="120"/>
        <w:gridCol w:w="120"/>
        <w:gridCol w:w="120"/>
        <w:gridCol w:w="216"/>
        <w:gridCol w:w="829"/>
        <w:gridCol w:w="120"/>
        <w:gridCol w:w="120"/>
        <w:gridCol w:w="120"/>
        <w:gridCol w:w="120"/>
        <w:gridCol w:w="216"/>
        <w:gridCol w:w="813"/>
        <w:gridCol w:w="170"/>
      </w:tblGrid>
      <w:tr>
        <w:trPr/>
        <w:tc>
          <w:tcPr>
            <w:tcW w:w="85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02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FIRSTCASH HOLDINGS, INC.</w:t>
            </w:r>
          </w:p>
        </w:tc>
      </w:tr>
      <w:tr>
        <w:trPr/>
        <w:tc>
          <w:tcPr>
            <w:tcW w:w="8028"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c>
      </w:tr>
      <w:tr>
        <w:trPr/>
        <w:tc>
          <w:tcPr>
            <w:tcW w:w="802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20,653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9,089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114,120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210,258</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176,725 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8"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The accompanying notes are an integral part of these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474" w:type="dxa"/>
        <w:jc w:val="left"/>
        <w:tblInd w:w="0" w:type="dxa"/>
        <w:tblLayout w:type="fixed"/>
        <w:tblCellMar>
          <w:top w:w="28" w:type="dxa"/>
          <w:left w:w="28" w:type="dxa"/>
          <w:bottom w:w="28" w:type="dxa"/>
          <w:right w:w="28" w:type="dxa"/>
        </w:tblCellMar>
      </w:tblPr>
      <w:tblGrid>
        <w:gridCol w:w="589"/>
        <w:gridCol w:w="353"/>
        <w:gridCol w:w="154"/>
        <w:gridCol w:w="109"/>
        <w:gridCol w:w="109"/>
        <w:gridCol w:w="153"/>
        <w:gridCol w:w="153"/>
        <w:gridCol w:w="330"/>
        <w:gridCol w:w="331"/>
        <w:gridCol w:w="198"/>
        <w:gridCol w:w="109"/>
        <w:gridCol w:w="109"/>
        <w:gridCol w:w="109"/>
        <w:gridCol w:w="226"/>
        <w:gridCol w:w="503"/>
        <w:gridCol w:w="127"/>
        <w:gridCol w:w="109"/>
        <w:gridCol w:w="109"/>
        <w:gridCol w:w="109"/>
        <w:gridCol w:w="196"/>
        <w:gridCol w:w="886"/>
        <w:gridCol w:w="109"/>
        <w:gridCol w:w="109"/>
        <w:gridCol w:w="109"/>
        <w:gridCol w:w="109"/>
        <w:gridCol w:w="196"/>
        <w:gridCol w:w="886"/>
        <w:gridCol w:w="109"/>
        <w:gridCol w:w="109"/>
        <w:gridCol w:w="109"/>
        <w:gridCol w:w="109"/>
        <w:gridCol w:w="196"/>
        <w:gridCol w:w="661"/>
        <w:gridCol w:w="109"/>
        <w:gridCol w:w="109"/>
        <w:gridCol w:w="109"/>
        <w:gridCol w:w="109"/>
        <w:gridCol w:w="330"/>
        <w:gridCol w:w="331"/>
        <w:gridCol w:w="196"/>
        <w:gridCol w:w="109"/>
        <w:gridCol w:w="109"/>
        <w:gridCol w:w="109"/>
        <w:gridCol w:w="196"/>
        <w:gridCol w:w="886"/>
        <w:gridCol w:w="109"/>
        <w:gridCol w:w="109"/>
        <w:gridCol w:w="109"/>
        <w:gridCol w:w="109"/>
        <w:gridCol w:w="196"/>
        <w:gridCol w:w="886"/>
        <w:gridCol w:w="109"/>
        <w:gridCol w:w="109"/>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FIRSTCASH HOLDINGS, INC.</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781" w:type="dxa"/>
            <w:gridSpan w:val="8"/>
            <w:tcBorders/>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781" w:type="dxa"/>
            <w:gridSpan w:val="8"/>
            <w:tcBorders/>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781"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781"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Accum-</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ulated</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Other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hensive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br/>
              <w:t>Held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Stock-</w:t>
              <w:br/>
              <w:t>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of 12/31/2025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57,547 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Shares issued under share-based compensation plan, net of 67 shares net-settled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($0.42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3/31/2026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57,547 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($0.42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As of 6/30/2026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57,547</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1,761,131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1,834,886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14,068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(1,219,054)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2,321,792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0"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0"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0"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0"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99" w:type="dxa"/>
            <w:gridSpan w:val="14"/>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7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781" w:type="dxa"/>
            <w:gridSpan w:val="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271" w:type="dxa"/>
        <w:jc w:val="left"/>
        <w:tblInd w:w="0" w:type="dxa"/>
        <w:tblLayout w:type="fixed"/>
        <w:tblCellMar>
          <w:top w:w="28" w:type="dxa"/>
          <w:left w:w="28" w:type="dxa"/>
          <w:bottom w:w="28" w:type="dxa"/>
          <w:right w:w="28" w:type="dxa"/>
        </w:tblCellMar>
      </w:tblPr>
      <w:tblGrid>
        <w:gridCol w:w="589"/>
        <w:gridCol w:w="353"/>
        <w:gridCol w:w="154"/>
        <w:gridCol w:w="109"/>
        <w:gridCol w:w="109"/>
        <w:gridCol w:w="153"/>
        <w:gridCol w:w="153"/>
        <w:gridCol w:w="323"/>
        <w:gridCol w:w="323"/>
        <w:gridCol w:w="198"/>
        <w:gridCol w:w="109"/>
        <w:gridCol w:w="109"/>
        <w:gridCol w:w="109"/>
        <w:gridCol w:w="231"/>
        <w:gridCol w:w="496"/>
        <w:gridCol w:w="129"/>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323"/>
        <w:gridCol w:w="323"/>
        <w:gridCol w:w="196"/>
        <w:gridCol w:w="109"/>
        <w:gridCol w:w="109"/>
        <w:gridCol w:w="109"/>
        <w:gridCol w:w="196"/>
        <w:gridCol w:w="886"/>
        <w:gridCol w:w="109"/>
        <w:gridCol w:w="109"/>
        <w:gridCol w:w="109"/>
        <w:gridCol w:w="109"/>
        <w:gridCol w:w="196"/>
        <w:gridCol w:w="871"/>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0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FIRSTCASH HOLDINGS, INC.</w:t>
            </w:r>
          </w:p>
        </w:tc>
        <w:tc>
          <w:tcPr>
            <w:tcW w:w="3066" w:type="dxa"/>
            <w:gridSpan w:val="12"/>
            <w:tcBorders/>
          </w:tcPr>
          <w:p>
            <w:pPr>
              <w:pStyle w:val="TableContents"/>
              <w:bidi w:val="0"/>
              <w:spacing w:before="0" w:after="283"/>
              <w:jc w:val="left"/>
              <w:rPr>
                <w:sz w:val="4"/>
                <w:szCs w:val="4"/>
              </w:rPr>
            </w:pPr>
            <w:r>
              <w:rPr>
                <w:sz w:val="4"/>
                <w:szCs w:val="4"/>
              </w:rPr>
            </w:r>
          </w:p>
        </w:tc>
      </w:tr>
      <w:tr>
        <w:trPr/>
        <w:tc>
          <w:tcPr>
            <w:tcW w:w="920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tc>
        <w:tc>
          <w:tcPr>
            <w:tcW w:w="3066" w:type="dxa"/>
            <w:gridSpan w:val="12"/>
            <w:tcBorders/>
          </w:tcPr>
          <w:p>
            <w:pPr>
              <w:pStyle w:val="TableContents"/>
              <w:bidi w:val="0"/>
              <w:spacing w:before="0" w:after="283"/>
              <w:jc w:val="left"/>
              <w:rPr>
                <w:sz w:val="4"/>
                <w:szCs w:val="4"/>
              </w:rPr>
            </w:pPr>
            <w:r>
              <w:rPr>
                <w:sz w:val="4"/>
                <w:szCs w:val="4"/>
              </w:rPr>
            </w:r>
          </w:p>
        </w:tc>
      </w:tr>
      <w:tr>
        <w:trPr/>
        <w:tc>
          <w:tcPr>
            <w:tcW w:w="920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CONTINUED</w:t>
            </w:r>
          </w:p>
        </w:tc>
        <w:tc>
          <w:tcPr>
            <w:tcW w:w="3066" w:type="dxa"/>
            <w:gridSpan w:val="12"/>
            <w:tcBorders/>
          </w:tcPr>
          <w:p>
            <w:pPr>
              <w:pStyle w:val="TableContents"/>
              <w:bidi w:val="0"/>
              <w:spacing w:before="0" w:after="283"/>
              <w:jc w:val="left"/>
              <w:rPr>
                <w:sz w:val="4"/>
                <w:szCs w:val="4"/>
              </w:rPr>
            </w:pPr>
            <w:r>
              <w:rPr>
                <w:sz w:val="4"/>
                <w:szCs w:val="4"/>
              </w:rPr>
            </w:r>
          </w:p>
        </w:tc>
      </w:tr>
      <w:tr>
        <w:trPr/>
        <w:tc>
          <w:tcPr>
            <w:tcW w:w="920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amounts)</w:t>
            </w:r>
          </w:p>
        </w:tc>
        <w:tc>
          <w:tcPr>
            <w:tcW w:w="3066" w:type="dxa"/>
            <w:gridSpan w:val="12"/>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c>
          <w:tcPr>
            <w:tcW w:w="3066" w:type="dxa"/>
            <w:gridSpan w:val="12"/>
            <w:tcBorders/>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Accum-</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ulated</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Other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hensive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br/>
              <w:t>Held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Stock-</w:t>
              <w:br/>
              <w:t>holders’</w:t>
              <w:br/>
              <w:t>Equity</w:t>
            </w:r>
          </w:p>
        </w:tc>
        <w:tc>
          <w:tcPr>
            <w:tcW w:w="154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of 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57,547 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Shares issued under share-based compensation plan, net of 52 shares net-settled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($0.38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3/31/2025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57,547 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($0.38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6/30/2025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57,547 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175"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175"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175"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175" w:type="dxa"/>
            <w:gridSpan w:val="49"/>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235" w:type="dxa"/>
            <w:gridSpan w:val="18"/>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235" w:type="dxa"/>
            <w:gridSpan w:val="18"/>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5"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tc>
        <w:tc>
          <w:tcPr>
            <w:tcW w:w="3066"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69"/>
        <w:gridCol w:w="1960"/>
        <w:gridCol w:w="1976"/>
        <w:gridCol w:w="316"/>
        <w:gridCol w:w="1219"/>
        <w:gridCol w:w="176"/>
        <w:gridCol w:w="176"/>
        <w:gridCol w:w="176"/>
        <w:gridCol w:w="176"/>
        <w:gridCol w:w="316"/>
        <w:gridCol w:w="1194"/>
        <w:gridCol w:w="251"/>
      </w:tblGrid>
      <w:tr>
        <w:trPr/>
        <w:tc>
          <w:tcPr>
            <w:tcW w:w="226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FIRSTCASH HOLDINGS,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c>
      </w:tr>
      <w:tr>
        <w:trPr/>
        <w:tc>
          <w:tcPr>
            <w:tcW w:w="6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6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6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operating activities:</w:t>
            </w:r>
          </w:p>
        </w:tc>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 provided by operating activities:</w:t>
            </w:r>
          </w:p>
        </w:tc>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152,709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54,183</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82,774</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10,750</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63,956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2,136</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Prepayment penalties on early termination of secured term loans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4,182</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premiums, discounts and unearned origination fees on finance receivables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(33,966)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business combinations:</w:t>
            </w:r>
          </w:p>
        </w:tc>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purchased directly from customers, wholesalers or manufacturers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5,354</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Leased merchandise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(177,178)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(199,448)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and other liabilities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(18,030)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flow provided by operating activities</w:t>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330,405</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investing activities:</w:t>
            </w:r>
          </w:p>
        </w:tc>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made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(1,329,288)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(893,706)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repaid</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776,118</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531,098 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pawn loan principal through sale of forfeited collateral</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405,124</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332,016 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finance receivables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(196,310)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(237,132)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finance receivables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181,848</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furniture, fixtures, equipment and improvements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(37,864)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store real property</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(40,246)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pawn stores, net of cash acquired</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flow used in investing activities</w:t>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(252,143)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(174,210)</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financing activities:</w:t>
            </w:r>
          </w:p>
        </w:tc>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Borrowings from credit facilities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308,697</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facilities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(853,148)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(218,000)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penalties on early termination of secured term loans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and early termination of secured term loans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(60,502)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senior unsecured notes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750,000</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paid</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(8,843)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(116,938)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withholding taxes on net share settlements of restricted stock unit awards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(36,866)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flow used in financing activities</w:t>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(33,022)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(146,025)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4000" w:type="dxa"/>
            <w:gridSpan w:val="9"/>
            <w:tcBorders/>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4000" w:type="dxa"/>
            <w:gridSpan w:val="9"/>
            <w:tcBorders/>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4000" w:type="dxa"/>
            <w:gridSpan w:val="9"/>
            <w:tcBorders/>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4000" w:type="dxa"/>
            <w:gridSpan w:val="9"/>
            <w:tcBorders/>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2289" w:type="dxa"/>
            <w:gridSpan w:val="6"/>
            <w:tcBorders/>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2289" w:type="dxa"/>
            <w:gridSpan w:val="6"/>
            <w:tcBorders/>
          </w:tcPr>
          <w:p>
            <w:pPr>
              <w:pStyle w:val="TableContents"/>
              <w:bidi w:val="0"/>
              <w:spacing w:before="0" w:after="283"/>
              <w:jc w:val="left"/>
              <w:rPr>
                <w:sz w:val="4"/>
                <w:szCs w:val="4"/>
              </w:rPr>
            </w:pPr>
            <w:r>
              <w:rPr>
                <w:sz w:val="4"/>
                <w:szCs w:val="4"/>
              </w:rPr>
            </w:r>
          </w:p>
        </w:tc>
      </w:tr>
      <w:tr>
        <w:trPr/>
        <w:tc>
          <w:tcPr>
            <w:tcW w:w="6205"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w:t>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1,861</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47,101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(73,628)</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the period</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125,197</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the period</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172,298</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FIRSTCASH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1 - General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balance sheet as of December 31, 2025, which is derived from audited consolidated financial statements, and the unaudited consolidated financial statements, including the notes thereto, includes the accounts of FirstCash Holdings, Inc. and its wholly-owned subsidiaries (together, the “Company”). The Company regularly makes acquisitions, and the results of operations for the acquisitions have been consolidated since the acquisition dates. All significant intercompany accounts and transactions have been eliminated.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financial statements have been prepared in accordance with U.S. generally accepted accounting principles (“GAAP”) for interim financial information and with the rules and regulations for reporting on Form 10-Q. Accordingly, they do not include certain information and disclosures required for comprehensive financial statements. These interim period financial statements should be read in conjunction with the Company’s audited consolidated financial statements, which are included in the Company’s Annual Report on Form 10-K for the year ended December 31, 2025, filed with the SEC on February 9, 2026. The consolidated financial statements as of June 30, 2026 and 2025, and for the three month and six month periods ended June 30, 2026 and 2025, are unaudited, but in management’s opinion include all adjustments (consisting of only normal recurring adjustments) considered necessary to present fairly the financial position, results of operations and cash flow for such interim periods. Operating results for the periods ended June 30, 2026 are not necessarily indicative of the results that may be expected for the full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completed the acquisition of H&amp;T Group plc (“H&amp;T”), the leading pawn operator in the United Kingdom, on August 14, 2025, the date on which the balance sheet and operating results of H&amp;T were included in the Company’s consolidated financial results (the “H&amp;T Acquisition”). The purchase price allocation for the H&amp;T Acquisition remains preliminary as of June 30, 2026. No material measurement period adjustments were recognized during the three month and six month periods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pawn operations in Mexico, Guatemala, Colombia and the U.K., where the functional currency is the Mexican peso, Guatemalan quetzal, Colombian peso and the British pound sterling, respectively. Accordingly, the assets and liabilities of these subsidiaries are translated into U.S. dollars at the exchange rate in effect at each balance sheet date, and the resulting adjustments are accumulated in other comprehensive income (loss) as a separate component of stockholders’ equity. Revenues and expenses are translated at the average exchange rates occurring during the respective period. The Company also has pawn operations in El Salvador, where the reporting and functional currency is the U.S. dollar.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18, 2026, the Company completed its reincorporation from the State of Delaware to the State of Texas by conversion. The reincorporation was approved by the Company’s stockholders at the annual meeting of stockholders held on June 9, 2026. The reincorporation did not affect the accompanying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interim financial statements in conformity with GAAP requires management to make estimates and assumptions that affect the reported amounts of assets and liabilities, and related revenue and expenses, and the disclosure of gain and loss contingencies at the date of the financial statements. Such estimates and assumptions are subject to a number of risks and uncertainties, which may cause actual results to differ materially from the Company’s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comparability, certain prior period amounts in the consolidated statements of cash flows have been reclassified in order to conform to the current period presentation.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presentation of pawn loans within cash flows from investing activities in the consolidated statements of cash flows for the six months ended June 30, 2025 has been revised to reflect a gross presentation of pawn loans made, pawn loans repaid and recovery of pawn loan principal through sale of forfeited collateral. This reclassification of prior period amounts did not result in changes to previously reported net cash flow used in investing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presentation of finance receivables within cash flows from investing activities in the consolidated statements of cash flows for the six months ended June 30, 2025 has been revised to reflect a gross presentation of investments in finance receivables and proceeds from finance receivables. This reclassification of prior period amounts did not result in changes to previously reported net cash flow used in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additional disclosure of specific types of expenses included in the expense captions presented on the face of the income statement as well as disclosures about selling expenses. In January 2025, the FASB issued ASU 2025-01, “Income Statement—Reporting Comprehensive Income—Expense Disaggregation Disclosures (Subtopic 220-40): Clarifying the Effective Date,” which clarifies the effective date of ASU 2024-03. ASU 2024-03 is effective for fiscal years beginning after December 15, 2026 and interim periods beginning after December 15, 2027, with early adoption permitted. ASU 2024-03 may be applied either prospectively or retrospectively for all prior periods presented. The Company is currently evaluating the impact of adopting this guidance on the Company's current financial position, results of operations and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ASU 2025-06 modernizes the capitalization criteria for internal-use software by eliminating references to project stages and clarifying the threshold applied to begin capitalizing costs. This guidance is effective for fiscal years beginning after December 15, 2027 and interim reporting periods within those annual reporting periods. Early adoption is permitted as of the beginning of an annual reporting period. The Company is currently evaluating the impact of adopting this guidance on the Company's financial position, results of operations and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ASU 2025-11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is effective for interim periods within annual reporting periods beginning after December 15, 2027, with early adoption permitted. ASU 2025-11 may be applied either prospectively or retrospectively for all prior periods presented. The Company is currently evaluating the impact of adopting this guidance on the Company's financial position, results of operations and financial statement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2 - Earnings Per Share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thousands, except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65"/>
        <w:gridCol w:w="1638"/>
        <w:gridCol w:w="1661"/>
        <w:gridCol w:w="196"/>
        <w:gridCol w:w="661"/>
        <w:gridCol w:w="109"/>
        <w:gridCol w:w="109"/>
        <w:gridCol w:w="109"/>
        <w:gridCol w:w="109"/>
        <w:gridCol w:w="196"/>
        <w:gridCol w:w="646"/>
        <w:gridCol w:w="109"/>
        <w:gridCol w:w="109"/>
        <w:gridCol w:w="109"/>
        <w:gridCol w:w="109"/>
        <w:gridCol w:w="196"/>
        <w:gridCol w:w="751"/>
        <w:gridCol w:w="109"/>
        <w:gridCol w:w="109"/>
        <w:gridCol w:w="109"/>
        <w:gridCol w:w="109"/>
        <w:gridCol w:w="196"/>
        <w:gridCol w:w="736"/>
        <w:gridCol w:w="155"/>
      </w:tblGrid>
      <w:tr>
        <w:trPr/>
        <w:tc>
          <w:tcPr>
            <w:tcW w:w="186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5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for calculating basic earnings per share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 awards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for calculating diluted earnings per share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3 - Acquisitions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Pending Ramsdens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23, 2026, the Company agreed on terms of the acquisition of Ramsdens, a leading pawn operator in the United Kingdom with 174 store locations, whereby the Company will acquire the entire issued and to be issued share capital of Ramsdens by means of a court-sanctioned scheme of arrangement under Part 26 of the United Kingdom Companies Act 2006, as amended (“Ramsdens Acquisition”). On July 16, 2026, the Company agreed on revised terms of the acquisition to increase the cash price to be received by Ramsdens’ shareholders. Under the revised terms of the Ramsdens Acquisition, Ramsdens’ shareholders will be entitled to receive 675 pence per share in cash. In addition, Ramsdens’ shareholders will receive an interim cash dividend of up to 9 pence for each Ramsdens share to be paid on October 9, 2026. The total equity value for the Ramsdens Acquisition, including cash consideration for the shares, is approximately £231.7 million ($307.5 million USD using GBP/USD exchange rate of 1.33).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Ramsdens Acquisition is expected to be consummated by the end of 2026, subject to approval of Ramsdens’ shareholders, receipt of the required anti-trust and regulatory approvals and satisfaction of the remaining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 Pawn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Consistent with the Company’s strategy to continue its expansion of pawn stores in strategic markets, during the six months ended June 30, 2026, the Company acquired eight pawn stores in the U.S. in four separate transactions. The aggregate purchase price for these acquisitions totaled $6.6 million, net of cash acquired and subject to future post-closing adjustments. The aggregate purchase price was composed of $6.3 million in cash paid during the six months ended June 30, 2026 and remaining short-term amounts payable to certain of the sellers of $0.3 million. During the six months ended June 30, 2026, the Company also paid $5.2 million of purchase price amounts payable related to prior-year pawn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of each of the 2026 acquisitions was allocated to assets acquired and liabilities assumed based upon the estimated fair values at the date of acquisition. The excess purchase price over the estimated fair value of the net assets acquired has been recorded as goodwill. The goodwill arising from these acquisitions consists largely of the synergies and economies of scale expected from combining the operations of the Company and the pawn stores acquired. The acquisitions were not material, individually or in the aggregate, to the Company’s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4 - Operating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Lessor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about the Company’s revenue-generating activities as a lessor, refer to the “Leased merchandise and revenue recognition” section of Note 2 to the consolidated financial statements included in the Company’s 2025 Annual Report on Form 10-K. All of the Company’s lease agreements are considered operating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Lessee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approximately 62% of its U.S. pawnshop locations, almost all of its Latin America and U.K. pawnshop locations and certain administrative offices under operating leases and determines if an arrangement is or contains a lease at inception. Many leases include both lease and non-lease components for which the Company accounts separately. Lease components include rent, taxes and insurance costs while non-lease components include common area or other maintenance costs. Operating leases are included in operating lease right of use assets, lease liability, current and lease liability, non-current in the consolidated balance sheets. The Company does not have any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Leased facilities are generally leased for a term of three to five years with one or more options to renew for an additional three to five years, typically at the Company’s sole discretion. In addition, the majority of these leases can be terminated early upon an adverse change in law which negatively affects the store’s profitability. The Company regularly evaluates renewal and termination options to determine if the Company is reasonably certain to exercise the option, and excludes these options from the lease term included in the recognition of the operating lease right of use asset and lease liability until such certainty exists. The weighted-average remaining lease term for operating leases was 4.1 years as of June 30, 2026 and 4.2 years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operating lease right of use asset and lease liability is recognized based on the present value of the future minimum lease payments over the lease term at the commencement date. The Company’s leases do not provide an implicit rate, and therefore, it uses its incremental borrowing rate based on the information available at the lease commencement date in determining the present value of the lease payments. The Company utilizes a portfolio approach for determining the incremental borrowing rate to apply to groups of leases with similar characteristics. The weighted-average discount rate used to measure the lease liability as of June 30, 2026 and 2025 was 8.0% and 8.5%,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certain operating leases in Mexico which are denominated in U.S. dollars. The liability related to these leases is considered a monetary liability and requires remeasurement each reporting period into the functional currency (Mexican pesos) using reporting date exchange rates. The remeasurement results in the recognition of foreign currency exchange gains or losses each reporting period, which can produce a certain level of earnings volatility. The Company recognized a foreign currency gain of $0.8 million and $1.6 million during the three months ended June 30, 2026 and 2025, respectively, related to the remeasurement of these U.S. dollar-denominated operating leases, which is included in loss (gain) on foreign exchange in the accompanying consolidated statements of income. During the six months ended June 30, 2026 and 2025, the Company recognized a foreign currency gain of $1.6 million and $1.5 million, respectively, related to these U.S. dollar denominated operating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expense is recognized on a straight-line basis over the lease term, with variable lease expense recognized in the period such payments are incurred. The following table details the components of lease expense included in operating expenses in the consolidated statements of income during the three and six months ended June 30, 2026 and 2025 (in thousands):</w:t>
      </w:r>
    </w:p>
    <w:p>
      <w:pPr>
        <w:pStyle w:val="TextBody"/>
        <w:bidi w:val="0"/>
        <w:spacing w:before="0" w:after="0"/>
        <w:jc w:val="both"/>
        <w:rPr/>
      </w:pPr>
      <w:r>
        <w:rPr/>
      </w:r>
    </w:p>
    <w:tbl>
      <w:tblPr>
        <w:tblW w:w="7050" w:type="dxa"/>
        <w:jc w:val="left"/>
        <w:tblInd w:w="0" w:type="dxa"/>
        <w:tblLayout w:type="fixed"/>
        <w:tblCellMar>
          <w:top w:w="28" w:type="dxa"/>
          <w:left w:w="28" w:type="dxa"/>
          <w:bottom w:w="28" w:type="dxa"/>
          <w:right w:w="28" w:type="dxa"/>
        </w:tblCellMar>
      </w:tblPr>
      <w:tblGrid>
        <w:gridCol w:w="793"/>
        <w:gridCol w:w="697"/>
        <w:gridCol w:w="700"/>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Variable lease expense </w:t>
            </w:r>
            <w:r>
              <w:rPr>
                <w:rFonts w:ascii="Times New Roman;serif" w:hAnsi="Times New Roman;serif"/>
                <w:b w:val="false"/>
                <w:color w:val="000000"/>
                <w:sz w:val="12"/>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Variable lease costs consist primarily of taxes, insurance and common area or other maintenance costs paid based on actual costs incurred by the lessor and can therefore vary over the lease term.</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maturity of lease liabilities for all operating leases as of June 30, 2026 (in thousands):</w:t>
      </w:r>
    </w:p>
    <w:p>
      <w:pPr>
        <w:pStyle w:val="TextBody"/>
        <w:bidi w:val="0"/>
        <w:spacing w:before="0" w:after="0"/>
        <w:jc w:val="both"/>
        <w:rPr/>
      </w:pPr>
      <w:r>
        <w:rPr/>
      </w:r>
    </w:p>
    <w:tbl>
      <w:tblPr>
        <w:tblW w:w="4881" w:type="dxa"/>
        <w:jc w:val="center"/>
        <w:tblInd w:w="0" w:type="dxa"/>
        <w:tblLayout w:type="fixed"/>
        <w:tblCellMar>
          <w:top w:w="28" w:type="dxa"/>
          <w:left w:w="28" w:type="dxa"/>
          <w:bottom w:w="28" w:type="dxa"/>
          <w:right w:w="28" w:type="dxa"/>
        </w:tblCellMar>
      </w:tblPr>
      <w:tblGrid>
        <w:gridCol w:w="1372"/>
        <w:gridCol w:w="1209"/>
        <w:gridCol w:w="1214"/>
        <w:gridCol w:w="196"/>
        <w:gridCol w:w="73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ending December 31,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of lease payments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present value of lease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supplemental cash flow information related to operating leases for the six months ended June 30, 2026 and 2025 (in thousands):</w:t>
      </w:r>
    </w:p>
    <w:p>
      <w:pPr>
        <w:pStyle w:val="TextBody"/>
        <w:bidi w:val="0"/>
        <w:spacing w:before="0" w:after="0"/>
        <w:jc w:val="both"/>
        <w:rPr/>
      </w:pPr>
      <w:r>
        <w:rPr/>
      </w:r>
    </w:p>
    <w:tbl>
      <w:tblPr>
        <w:tblW w:w="8033" w:type="dxa"/>
        <w:jc w:val="center"/>
        <w:tblInd w:w="0" w:type="dxa"/>
        <w:tblLayout w:type="fixed"/>
        <w:tblCellMar>
          <w:top w:w="28" w:type="dxa"/>
          <w:left w:w="28" w:type="dxa"/>
          <w:bottom w:w="28" w:type="dxa"/>
          <w:right w:w="28" w:type="dxa"/>
        </w:tblCellMar>
      </w:tblPr>
      <w:tblGrid>
        <w:gridCol w:w="2082"/>
        <w:gridCol w:w="1826"/>
        <w:gridCol w:w="1836"/>
        <w:gridCol w:w="196"/>
        <w:gridCol w:w="661"/>
        <w:gridCol w:w="109"/>
        <w:gridCol w:w="109"/>
        <w:gridCol w:w="109"/>
        <w:gridCol w:w="109"/>
        <w:gridCol w:w="196"/>
        <w:gridCol w:w="646"/>
        <w:gridCol w:w="154"/>
      </w:tblGrid>
      <w:tr>
        <w:trPr/>
        <w:tc>
          <w:tcPr>
            <w:tcW w:w="208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5 - Fair Value of Financial Instruments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is determined by reference to various market data and other valuation techniques, as appropriate.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three fair value levels are (from highest to lowest):</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 Quoted market prices in active markets for identical assets or liabilities.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2: Observable market-based inputs or unobservable inputs that are corroborated by market data.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 Unobservable inputs that are not corroborated by market data.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Recurring Fair Value Measurements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financial assets and liabilities measured at fair value on a recurring basis as of June 30, 2026, June 30, 2025 and December 31, 2025.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Fair Value Measurements on a Non-Recurring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non-financial assets and liabilities, such as property and equipment and intangible assets, at fair value on a non-recurring basis, or when events or circumstances indicate that the carrying amount of the assets may be impaired. There were no such events or conditions identified during the six months ended June 30, 2026.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Assets and Liabilities Not Measured at Fair Value, But for Which Fair Value is Disclosed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as of June 30, 2026, June 30, 2025 and December 31, 2025 that are not measured at fair value in the consolidated balance sheets are as follows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26"/>
        <w:gridCol w:w="977"/>
        <w:gridCol w:w="981"/>
        <w:gridCol w:w="199"/>
        <w:gridCol w:w="887"/>
        <w:gridCol w:w="110"/>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7"/>
      </w:tblGrid>
      <w:tr>
        <w:trPr/>
        <w:tc>
          <w:tcPr>
            <w:tcW w:w="112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Measurements Using</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120,884 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Finance receivables, net </w:t>
            </w:r>
            <w:r>
              <w:rPr>
                <w:rFonts w:ascii="Times New Roman;serif" w:hAnsi="Times New Roman;serif"/>
                <w:b w:val="false"/>
                <w:color w:val="000000"/>
                <w:sz w:val="12"/>
              </w:rPr>
              <w:t>(1)</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1,281,285 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for off-balance sheet credit exposure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Revolving unsecured credit facility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long-term debt (outstanding principal)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2,387,341 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Finance receivables, gross as of June 30, 2026 was $264.5 million. See Note 6.</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66"/>
        <w:gridCol w:w="1023"/>
        <w:gridCol w:w="1028"/>
        <w:gridCol w:w="199"/>
        <w:gridCol w:w="888"/>
        <w:gridCol w:w="110"/>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8"/>
      </w:tblGrid>
      <w:tr>
        <w:trPr/>
        <w:tc>
          <w:tcPr>
            <w:tcW w:w="11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Measurements Using</w:t>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Finance receivables, net </w:t>
            </w:r>
            <w:r>
              <w:rPr>
                <w:rFonts w:ascii="Times New Roman;serif" w:hAnsi="Times New Roman;serif"/>
                <w:b w:val="false"/>
                <w:color w:val="000000"/>
                <w:sz w:val="12"/>
              </w:rPr>
              <w:t>(1)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Revolving unsecured credit facility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long-term debt (outstanding principal)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1,702,000 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Finance receivables, gross as of June 30, 2025 was $311.4 million. See Note 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26"/>
        <w:gridCol w:w="977"/>
        <w:gridCol w:w="981"/>
        <w:gridCol w:w="199"/>
        <w:gridCol w:w="887"/>
        <w:gridCol w:w="110"/>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7"/>
      </w:tblGrid>
      <w:tr>
        <w:trPr/>
        <w:tc>
          <w:tcPr>
            <w:tcW w:w="112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Measurements Using</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115,854 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Finance receivables, net </w:t>
            </w:r>
            <w:r>
              <w:rPr>
                <w:rFonts w:ascii="Times New Roman;serif" w:hAnsi="Times New Roman;serif"/>
                <w:b w:val="false"/>
                <w:color w:val="000000"/>
                <w:sz w:val="12"/>
              </w:rPr>
              <w:t>(1)</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1,222,822 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1,228,855 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for off-balance sheet credit exposure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Revolving unsecured credit facility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long-term debt (outstanding principal)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2,237,788 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Finance receivables, gross as of December 31, 2025 were $283.5 million. See Note 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cash and cash equivalents have maturities of less than three months, the carrying value of cash and cash equivalents approximates fair value. Due to their short-term maturities, the carrying value of pawn loans and accounts receivable, net approximate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Finance receivables are measured at amortized cost, net of an allowance for loan losses on the consolidated balance sheets. In estimating fair value for finance receivables, the Company utilized a discounted cash flow methodology. The Company used various unobservable inputs reflecting its own assumptions, such as contractual future principal and interest cash flows, future charge-off rates and discount rates (which consider current interest rates and are adjusted for credit risk, among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of the liability for off-balance sheet credit exposure approximates fair value as of June 30, 2026 and December 31, 2025 due to the short-term nature and estimation based on current expected lifetime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the revolving unsecured credit facility approximates fair value as of June 30, 2026, June 30, 2025 and December 31, 2025. The fair value of the revolving unsecured credit facility is estimated based on market values for debt issuances with similar characteristics or rates currently available for debt with similar terms. In addition, the revolving unsecured credit facility has a variable interest rate based on the prevailing secured overnight financing rate (“SOFR”) and reprices with any changes in SOFR.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other long-term debt consists of fixed rate senior unsecured notes. As of June 30, 2025 and December 31, 2025, the other long-term debt consists primarily of fixed rate senior unsecured notes and secured term loans. The fair value of the senior unsecured notes is estimated based on quoted prices in markets that are not active. The fair value of the secured term loans is estimated based on market values for debt issuances with similar characteristics or rates currently available for debt with similar terms. The remainder of the other long-term debt consists of two variable interest rate credit facilities, the carrying value of which approximates fair value as of June 30, 2025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 Finance Receivables,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Finance receivables, net, which include retail installment sales agreements and bank-originated loans, consist of the following (in thousands):</w:t>
      </w:r>
    </w:p>
    <w:p>
      <w:pPr>
        <w:pStyle w:val="TextBody"/>
        <w:bidi w:val="0"/>
        <w:spacing w:before="0" w:after="0"/>
        <w:jc w:val="both"/>
        <w:rPr/>
      </w:pPr>
      <w:r>
        <w:rPr/>
      </w:r>
    </w:p>
    <w:tbl>
      <w:tblPr>
        <w:tblW w:w="7294" w:type="dxa"/>
        <w:jc w:val="left"/>
        <w:tblInd w:w="0" w:type="dxa"/>
        <w:tblLayout w:type="fixed"/>
        <w:tblCellMar>
          <w:top w:w="28" w:type="dxa"/>
          <w:left w:w="28" w:type="dxa"/>
          <w:bottom w:w="28" w:type="dxa"/>
          <w:right w:w="28" w:type="dxa"/>
        </w:tblCellMar>
      </w:tblPr>
      <w:tblGrid>
        <w:gridCol w:w="1231"/>
        <w:gridCol w:w="1083"/>
        <w:gridCol w:w="1090"/>
        <w:gridCol w:w="196"/>
        <w:gridCol w:w="751"/>
        <w:gridCol w:w="109"/>
        <w:gridCol w:w="109"/>
        <w:gridCol w:w="109"/>
        <w:gridCol w:w="109"/>
        <w:gridCol w:w="196"/>
        <w:gridCol w:w="736"/>
        <w:gridCol w:w="109"/>
        <w:gridCol w:w="109"/>
        <w:gridCol w:w="109"/>
        <w:gridCol w:w="109"/>
        <w:gridCol w:w="205"/>
        <w:gridCol w:w="773"/>
        <w:gridCol w:w="16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w:t>
              <w:br/>
              <w:t>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partner discounts and premiums,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(22,728)</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origination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amortized cost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236,008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256,600 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loan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150,274 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allowance for loan losses (in thousands):</w:t>
      </w:r>
    </w:p>
    <w:p>
      <w:pPr>
        <w:pStyle w:val="TextBody"/>
        <w:bidi w:val="0"/>
        <w:spacing w:before="0" w:after="0"/>
        <w:jc w:val="both"/>
        <w:rPr/>
      </w:pPr>
      <w:r>
        <w:rPr/>
      </w:r>
    </w:p>
    <w:tbl>
      <w:tblPr>
        <w:tblW w:w="7500" w:type="dxa"/>
        <w:jc w:val="left"/>
        <w:tblInd w:w="0" w:type="dxa"/>
        <w:tblLayout w:type="fixed"/>
        <w:tblCellMar>
          <w:top w:w="28" w:type="dxa"/>
          <w:left w:w="28" w:type="dxa"/>
          <w:bottom w:w="28" w:type="dxa"/>
          <w:right w:w="28" w:type="dxa"/>
        </w:tblCellMar>
      </w:tblPr>
      <w:tblGrid>
        <w:gridCol w:w="825"/>
        <w:gridCol w:w="726"/>
        <w:gridCol w:w="72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104,571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106,326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Provision for loan losses</w:t>
            </w:r>
            <w:r>
              <w:rPr>
                <w:color w:val="000000"/>
              </w:rPr>
              <w:t xml:space="preserve"> </w:t>
            </w:r>
            <w:r>
              <w:rPr>
                <w:rFonts w:ascii="Times New Roman;serif" w:hAnsi="Times New Roman;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During the third quarter of 2025, the Company’s retail POS payment solutions business (American First Finance or “AFF”) began assisting certain customers in applying for a direct-to-consumer unsecured installment loan that is underwritten and fully retained by AFF’s bank partner (“OBS Loan”). OBS Loans are not reflected on the Company’s balance sheet as a finance receivable. The provision for loan losses presented on the consolidated statement of income for the three and six months ended June 30, 2026 includes an additional $7.5 million and $15.1 million</w:t>
      </w:r>
      <w:r>
        <w:rPr>
          <w:rFonts w:ascii="Times New Roman;serif" w:hAnsi="Times New Roman;serif"/>
          <w:b w:val="false"/>
          <w:color w:val="000000"/>
          <w:sz w:val="20"/>
        </w:rPr>
        <w:t xml:space="preserve">, respectively, </w:t>
      </w:r>
      <w:r>
        <w:rPr>
          <w:rFonts w:ascii="Times New Roman;serif" w:hAnsi="Times New Roman;serif"/>
          <w:b w:val="false"/>
          <w:color w:val="000000"/>
          <w:sz w:val="18"/>
        </w:rPr>
        <w:t>of provision expense related to OBS Loans in which AFF is responsible for reimbursing the bank partner for certain charge-offs, which the Company is required to recognize a liability for at inception. See the “OBS Loans” section in Note 9.</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an assessment of the credit quality indicators of the amortized cost of finance receivables as of June 30, 2026 and 2025, by origination year (in thousands):</w:t>
      </w:r>
    </w:p>
    <w:p>
      <w:pPr>
        <w:pStyle w:val="TextBody"/>
        <w:bidi w:val="0"/>
        <w:spacing w:before="0" w:after="0"/>
        <w:jc w:val="left"/>
        <w:rPr/>
      </w:pPr>
      <w:r>
        <w:rPr/>
      </w:r>
    </w:p>
    <w:tbl>
      <w:tblPr>
        <w:tblW w:w="7529" w:type="dxa"/>
        <w:jc w:val="left"/>
        <w:tblInd w:w="0" w:type="dxa"/>
        <w:tblLayout w:type="fixed"/>
        <w:tblCellMar>
          <w:top w:w="28" w:type="dxa"/>
          <w:left w:w="28" w:type="dxa"/>
          <w:bottom w:w="28" w:type="dxa"/>
          <w:right w:w="28" w:type="dxa"/>
        </w:tblCellMar>
      </w:tblPr>
      <w:tblGrid>
        <w:gridCol w:w="941"/>
        <w:gridCol w:w="832"/>
        <w:gridCol w:w="836"/>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of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Delinquency: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to 30 days past due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 to 60 days past due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61 to 89 days past due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past due finance receivables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amortized cost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 of June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Delinquency: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to 30 days past due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 to 60 days past due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61 to 89 days past due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past due finance receivables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amortized cost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 Company charges off finance receivables when a receivable is 90 days or more contractually past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gross charge-offs of finance receivables for the six months ended June 30, 2026 and 2025, by origination year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13"/>
        <w:gridCol w:w="1417"/>
        <w:gridCol w:w="1426"/>
        <w:gridCol w:w="196"/>
        <w:gridCol w:w="571"/>
        <w:gridCol w:w="109"/>
        <w:gridCol w:w="109"/>
        <w:gridCol w:w="109"/>
        <w:gridCol w:w="109"/>
        <w:gridCol w:w="196"/>
        <w:gridCol w:w="661"/>
        <w:gridCol w:w="109"/>
        <w:gridCol w:w="109"/>
        <w:gridCol w:w="109"/>
        <w:gridCol w:w="109"/>
        <w:gridCol w:w="196"/>
        <w:gridCol w:w="571"/>
        <w:gridCol w:w="109"/>
        <w:gridCol w:w="109"/>
        <w:gridCol w:w="109"/>
        <w:gridCol w:w="109"/>
        <w:gridCol w:w="196"/>
        <w:gridCol w:w="406"/>
        <w:gridCol w:w="109"/>
        <w:gridCol w:w="109"/>
        <w:gridCol w:w="109"/>
        <w:gridCol w:w="109"/>
        <w:gridCol w:w="196"/>
        <w:gridCol w:w="661"/>
        <w:gridCol w:w="155"/>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gross charge-offs: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Gross charge-offs during the six months ended June 30, 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76,964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Gross charge-offs during the six months ended June 30, 2025</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 Leased Merchandise,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Leased merchandise, net consists of the following (in thousands):</w:t>
      </w:r>
    </w:p>
    <w:p>
      <w:pPr>
        <w:pStyle w:val="TextBody"/>
        <w:bidi w:val="0"/>
        <w:spacing w:before="0" w:after="0"/>
        <w:jc w:val="both"/>
        <w:rPr/>
      </w:pPr>
      <w:r>
        <w:rPr/>
      </w:r>
    </w:p>
    <w:tbl>
      <w:tblPr>
        <w:tblW w:w="7849" w:type="dxa"/>
        <w:jc w:val="left"/>
        <w:tblInd w:w="0" w:type="dxa"/>
        <w:tblLayout w:type="fixed"/>
        <w:tblCellMar>
          <w:top w:w="28" w:type="dxa"/>
          <w:left w:w="28" w:type="dxa"/>
          <w:bottom w:w="28" w:type="dxa"/>
          <w:right w:w="28" w:type="dxa"/>
        </w:tblCellMar>
      </w:tblPr>
      <w:tblGrid>
        <w:gridCol w:w="1433"/>
        <w:gridCol w:w="1259"/>
        <w:gridCol w:w="1267"/>
        <w:gridCol w:w="196"/>
        <w:gridCol w:w="751"/>
        <w:gridCol w:w="109"/>
        <w:gridCol w:w="109"/>
        <w:gridCol w:w="109"/>
        <w:gridCol w:w="109"/>
        <w:gridCol w:w="196"/>
        <w:gridCol w:w="736"/>
        <w:gridCol w:w="109"/>
        <w:gridCol w:w="109"/>
        <w:gridCol w:w="109"/>
        <w:gridCol w:w="109"/>
        <w:gridCol w:w="205"/>
        <w:gridCol w:w="773"/>
        <w:gridCol w:w="161"/>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w:t>
              <w:br/>
              <w:t>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partner (discounts) and premiums,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before allowance for lease losses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lease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allowance for lease losses (in thousands):</w:t>
      </w:r>
    </w:p>
    <w:p>
      <w:pPr>
        <w:pStyle w:val="TextBody"/>
        <w:bidi w:val="0"/>
        <w:spacing w:before="0" w:after="0"/>
        <w:jc w:val="both"/>
        <w:rPr/>
      </w:pPr>
      <w:r>
        <w:rPr/>
      </w:r>
    </w:p>
    <w:tbl>
      <w:tblPr>
        <w:tblW w:w="7140" w:type="dxa"/>
        <w:jc w:val="left"/>
        <w:tblInd w:w="0" w:type="dxa"/>
        <w:tblLayout w:type="fixed"/>
        <w:tblCellMar>
          <w:top w:w="28" w:type="dxa"/>
          <w:left w:w="28" w:type="dxa"/>
          <w:bottom w:w="28" w:type="dxa"/>
          <w:right w:w="28" w:type="dxa"/>
        </w:tblCellMar>
      </w:tblPr>
      <w:tblGrid>
        <w:gridCol w:w="825"/>
        <w:gridCol w:w="726"/>
        <w:gridCol w:w="72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56,933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56,933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 Long-Term Debt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long-term debt at the respective principal amounts, net of unamortized debt issuance costs on the senior unsecured notes (in thousands):</w:t>
      </w:r>
    </w:p>
    <w:p>
      <w:pPr>
        <w:pStyle w:val="TextBody"/>
        <w:bidi w:val="0"/>
        <w:spacing w:before="0" w:after="0"/>
        <w:jc w:val="both"/>
        <w:rPr/>
      </w:pPr>
      <w:r>
        <w:rPr/>
      </w:r>
    </w:p>
    <w:tbl>
      <w:tblPr>
        <w:tblW w:w="9117" w:type="dxa"/>
        <w:jc w:val="left"/>
        <w:tblInd w:w="0" w:type="dxa"/>
        <w:tblLayout w:type="fixed"/>
        <w:tblCellMar>
          <w:top w:w="28" w:type="dxa"/>
          <w:left w:w="28" w:type="dxa"/>
          <w:bottom w:w="28" w:type="dxa"/>
          <w:right w:w="28" w:type="dxa"/>
        </w:tblCellMar>
      </w:tblPr>
      <w:tblGrid>
        <w:gridCol w:w="1765"/>
        <w:gridCol w:w="1549"/>
        <w:gridCol w:w="1561"/>
        <w:gridCol w:w="196"/>
        <w:gridCol w:w="886"/>
        <w:gridCol w:w="109"/>
        <w:gridCol w:w="109"/>
        <w:gridCol w:w="109"/>
        <w:gridCol w:w="109"/>
        <w:gridCol w:w="196"/>
        <w:gridCol w:w="871"/>
        <w:gridCol w:w="109"/>
        <w:gridCol w:w="109"/>
        <w:gridCol w:w="109"/>
        <w:gridCol w:w="109"/>
        <w:gridCol w:w="196"/>
        <w:gridCol w:w="871"/>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w:t>
              <w:br/>
              <w:t>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Revolving unsecured credit facility, maturing 2029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Revolving secured credit facility, maturing 2027 </w:t>
            </w:r>
            <w:r>
              <w:rPr>
                <w:rFonts w:ascii="Times New Roman;serif" w:hAnsi="Times New Roman;serif"/>
                <w:b w:val="false"/>
                <w:color w:val="000000"/>
                <w:sz w:val="12"/>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Revolving unsecured uncommitted credit facility, maturing 2027</w:t>
            </w:r>
            <w:r>
              <w:rPr>
                <w:color w:val="000000"/>
              </w:rPr>
              <w:t xml:space="preserve"> </w:t>
            </w:r>
            <w:r>
              <w:rPr>
                <w:rFonts w:ascii="Times New Roman;serif" w:hAnsi="Times New Roman;serif"/>
                <w:b w:val="false"/>
                <w:color w:val="000000"/>
                <w:sz w:val="12"/>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revolving credit facilities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term loans: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Secured term loan, maturing 2027 </w:t>
            </w:r>
            <w:r>
              <w:rPr>
                <w:rFonts w:ascii="Times New Roman;serif" w:hAnsi="Times New Roman;serif"/>
                <w:b w:val="false"/>
                <w:color w:val="000000"/>
                <w:sz w:val="12"/>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Secured term loan, maturing 2029 </w:t>
            </w:r>
            <w:r>
              <w:rPr>
                <w:rFonts w:ascii="Times New Roman;serif" w:hAnsi="Times New Roman;serif"/>
                <w:b w:val="false"/>
                <w:color w:val="000000"/>
                <w:sz w:val="12"/>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Secured term loan, maturing 2031 </w:t>
            </w:r>
            <w:r>
              <w:rPr>
                <w:rFonts w:ascii="Times New Roman;serif" w:hAnsi="Times New Roman;serif"/>
                <w:b w:val="false"/>
                <w:color w:val="000000"/>
                <w:sz w:val="12"/>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secured term loans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4.625% senior unsecured notes due 2028 </w:t>
            </w:r>
            <w:r>
              <w:rPr>
                <w:rFonts w:ascii="Times New Roman;serif" w:hAnsi="Times New Roman;serif"/>
                <w:b w:val="false"/>
                <w:color w:val="000000"/>
                <w:sz w:val="12"/>
              </w:rPr>
              <w:t>(3)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497,292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5.625% senior unsecured notes due 2030 </w:t>
            </w:r>
            <w:r>
              <w:rPr>
                <w:rFonts w:ascii="Times New Roman;serif" w:hAnsi="Times New Roman;serif"/>
                <w:b w:val="false"/>
                <w:color w:val="000000"/>
                <w:sz w:val="12"/>
              </w:rPr>
              <w:t>(4)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545,714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6.875% senior unsecured notes due 2032 </w:t>
            </w:r>
            <w:r>
              <w:rPr>
                <w:rFonts w:ascii="Times New Roman;serif" w:hAnsi="Times New Roman;serif"/>
                <w:b w:val="false"/>
                <w:color w:val="000000"/>
                <w:sz w:val="12"/>
              </w:rPr>
              <w:t>(5)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6.125% senior unsecured notes due 2034 </w:t>
            </w:r>
            <w:r>
              <w:rPr>
                <w:rFonts w:ascii="Times New Roman;serif" w:hAnsi="Times New Roman;serif"/>
                <w:b w:val="false"/>
                <w:color w:val="000000"/>
                <w:sz w:val="12"/>
              </w:rPr>
              <w:t>(6)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unsecured notes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2,277,039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2,346,039</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1,684,865 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2,208,434 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Debt issuance costs related to the Company’s revolving unsecured credit facilities are included in other assets in the accompanying consolidated balance sheets.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Assumed on August 14, 2025 in connection with the H&amp;T Acquisition and repaid and terminated during the three months ended June 30, 2026.</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As of June 30, 2026, June 30, 2025 and December 31, 2025, deferred debt issuance costs of $2.7 million, $3.9 million and $3.3 million, respectively, are included as a direct deduction from the carrying amount of the senior unsecured notes due 2028 in the accompanying consolidated balance sheets.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As of June 30, 2026, June 30, 2025 and December 31, 2025, deferred debt issuance costs of $4.3 million, $5.4 million and $4.8 million, respectively, are included as a direct deduction from the carrying amount of the senior unsecured notes due 2030 in the accompanying consolidated balance sheets.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 xml:space="preserve">As of June 30, 2026, June 30, 2025 and December 31, 2025, deferred debt issuance costs of $7.0 million, $7.9 million and $7.4 million, respectively, are included as a direct deduction from the carrying amount of the senior unsecured notes due 2032 in the accompanying consolidated balance sheets.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 xml:space="preserve">As of June 30, 2026, deferred debt issuance costs of $9.0 million are included as a direct deduction from the carrying amount of the senior unsecured notes due 2034 in the accompanying consolidated balance sheets. </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Revolving Unsecured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maintained an unsecured line of credit with a group of U.S.-based commercial lenders (the “Credit Facility”) in the amount of $700.0 million. The Credit Facility matures on August 8, 2029. As of June 30, 2026, the Company had $69.0 million in outstanding borrowings and $3.5 million in outstanding letters of credit under the Credit Facility, leaving $627.5 million available for future borrowings, subject to certain financial covenants. The Credit Facility bears interest at the Company’s option of either (1) the prevailing SOFR (with interest periods of one, three or six months at the Company’s option) plus a fixed spread of 2.5% or (2) the prevailing prime or base rate plus a fixed spread of 1.5%. The agreement has a SOFR floor of 0%. Additionally, the Company is required to pay an annual commitment fee of 0.325% on the average daily unused portion of the Credit Facility commitment. The weighted-average interest rate on amounts outstanding under the Credit Facility at June 30, 2026 was 6.12% based on one-month SOFR. Under the terms of the Credit Facility, the Company is required to maintain certain financial ratios and comply with certain financial covenants. The Credit Facility also contains customary restrictions on the Company’s ability to incur additional debt, grant liens, make investments, consummate acquisitions and similar negative covenants with customary carve-outs and baskets. The Company was in compliance with the covenants of the Credit Facility as of June 30, 2026. During the six months ended June 30, 2026, the Company made net payments of $490.0 million pursuant to the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Acquisition Bridge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anticipated Ramsdens Acquisition, the Company entered into a Bridge Term Loan Credit Agreement (“Bridge Facility”), dated as of June 23, 2026 and amended as of July 16, 2026, with Jefferies Finance LLC (as administrative agent and lender) providing the Company certain borrowings in an aggregate amount of up to £239.0 million. The Bridge Facility provides a backstop for the anticipated financing of the Ramsdens Acquisition and satisfies the “certain funds” requirements under the United Kingdom City Code on Takeovers and Mergers. The availability of borrowings under the Bridge Facility is subject to the satisfaction of certain customary conditions, including, but not limited to, the consummation of the Ramsdens Acquisition contemporaneously with the initial funding of the Bridge Facility. The Company expects to replace the Bridge Facility prior to the closing date of the Ramsdens Acquisition by borrowing on the Credit Facility to finance the Ramsdens Acquisition and to pay related fees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Revolving Secured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H&amp;T Acquisition, the Company assumed a secured line of credit with a bank in the U.K. in an amount of £45.0 million which was scheduled to mature on December 22, 2027 (the “U.K. Credit Facility”). The U.K. Credit Facility bore interest at the prevailing Sterling Overnight Index Average (“SONIA”) (with interest periods of one, three or six months at H&amp;T’s option) plus a spread of between 2.4% and 3.3% depending on certain ratios. The U.K. Credit Facility was secured by all of the assets of H&amp;T. In May 2026, all outstanding amounts were repaid in full, and the U.K. Credit Facility was terminated.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Revolving Unsecured Uncommitted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primary subsidiary in Mexico, First Cash S.A. de C.V., maintained an unsecured and uncommitted line of credit guaranteed by FirstCash, Inc. with a bank in Mexico (the “Mexico Credit Facility”) in the amount of $600.0 million Mexican pesos. The Mexico Credit Facility bears interest at the Mexican Central Bank’s interbank equilibrium rate plus a fixed spread of 2.25% and matures on August 24, 2027. Under the terms of the Mexico Credit Facility, the Company is required to maintain certain financial ratios and comply with certain financial covenants. The Company was in compliance with the covenants of the Mexico Credit Facility as of June 30, 2026. As of June 30, 2026, the Company had no amount outstanding under the Mexico Credit Facility and $34.4 million ($600.0 million pesos) available for future borrowings.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Secured Term Loans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H&amp;T Acquisition, the Company assumed three secured term loans with multiple lending institutions in the U.K. in an aggregate amount of £45.0 million, which were scheduled to mature between December 22, 2027 and February 21, 2031 (the “U.K. Term Loans”). The U.K. Term Loans bore interest at the Bank of England base rate plus a fixed spread of 4.00%, a fixed rate of 8.37% or a fixed rate of 8.43%. The U.K. Term Loans were secured by all of the assets of H&amp;T. In May 2026, all outstanding amounts were repaid in full, and the U.K. Term Loans were terminated. As a result of the early termination, the Company paid aggregate prepayment penalties of £3.1 million ($4.2 million), which are included in merger and acquisition expenses in the accompanying consolidated statements of income.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Unsecured Notes Due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26, 2020, the Company issued $500.0 million of 4.625% senior unsecured notes due on September 1, 2028 (the “2028 Notes”), all of which are currently outstanding. Interest on the 2028 Notes is payable semi-annually in arrears on March 1 and September 1. The 2028 Notes are fully and unconditionally guaranteed on a senior unsecured basis jointly and severally by all of the Company's existing and future domestic subsidiaries that guarantee its Credit Facility. The 2028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2.75 to 1. The consolidated total debt ratio is defined generally in the indenture governing the 2028 Notes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June 30, 2026, the Company’s consolidated total debt ratio was 2.6 to 1. While the 2028 Notes generally limit the Company’s ability to make restricted payments if the consolidated total debt ratio is greater than 2.75 to 1, restricted payments are allowable within certain permitted baskets, which currently provide the Company with continued flexibility to make restricted payments when the Company’s consolidated total debt ratio is greater than 2.75 to 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Unsecured Notes Due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13, 2021, the Company issued $550.0 million of 5.625% senior unsecured notes due on January 1, 2030 (the “2030 Notes”), all of which are currently outstanding. Interest on the 2030 Notes is payable semi-annually in arrears on January 1 and July 1. The 2030 Notes are fully and unconditionally guaranteed on a senior unsecured basis jointly and severally by all of the Company's existing and future domestic subsidiaries that guarantee its Credit Facility. The 2030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2030 Notes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June 30, 2026, the Company’s consolidated total debt ratio was 2.6 to 1. While the 2030 Notes generally limit the Company’s ability to make restricted payments if the consolidated total debt ratio is greater than 3.0 to 1, restricted payments are allowable within certain permitted baskets, which currently provide the Company with continued flexibility to make restricted payments when the Company’s consolidated total debt ratio is greater than 3.0 to 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Unsecured Notes Due 2032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21, 2024, the Company issued $500.0 million of 6.875% senior unsecured notes due on March 1, 2032 (the “2032 Notes”), all of which are currently outstanding. Interest on the 2032 Notes is payable semi-annually in arrears on March 1 and September 1. The 2032 Notes are fully and unconditionally guaranteed on a senior unsecured basis jointly and severally by all of the Company's existing and future domestic subsidiaries that guarantee its Credit Facility. The 2032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2032 Notes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June 30, 2026, the Company’s consolidated total debt ratio was 2.6 to 1. While the 2032 Notes generally limit the Company’s ability to make restricted payments if the consolidated total debt ratio is greater than 3.0 to 1, restricted payments are allowable within certain permitted baskets, which currently provide the Company with continued flexibility to make restricted payments when the Company’s consolidated total debt ratio is greater than 3.0 to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Unsecured Notes Due 2034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2026, the Company issued $750.0 million of 6.125% senior unsecured notes due on May 1, 2034 (the “2034 Notes”), all of which are currently outstanding. Interest on the 2034 Notes is payable semi-annually in arrears on May 1 and November 1, commencing on November 1, 2026. The 2034 Notes were sold in a private placement in reliance on Rule 144A and Regulation S under the Securities Act. The Company used the net proceeds from the offering to repay a portion of the outstanding balance on the Credit Facility, to repay the U.K. Credit Facility in full and to repay the U.K. Term Loans in full, after payment of fees and expenses related to the offering. The Company capitalized $9.1 million in debt issuance costs,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consisted primarily of the initial purchaser’s discount and fees and legal and other professional expenses. The debt issuance costs are being amortized over the life of the 2034 Notes as a component of interest expense and are carried as a direct deduction from the carrying amount of the 2034 Notes in the accompanying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2034 Notes are fully and unconditionally guaranteed on a senior unsecured basis jointly and severally by all of the Company's existing and future domestic subsidiaries that guarantee its Credit Facility. The 2034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is less than 3.0 to 1. The consolidated total debt ratio is defined generally in the indenture governing the 2034 Notes (the “2034 Notes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June 30, 2026, the Company’s consolidated total debt ratio was 2.6 to 1. While the 2034 Notes generally limit the Company’s ability to make restricted payments if the consolidated total debt ratio is greater than 3.0 to 1, restricted payments are allowable within certain permitted baskets, which currently provide the Company with continued flexibility to make restricted payments when the Company’s consolidated total debt ratio is greater than 3.0 to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of the 2034 Notes at any time on or after May 1, 2029, at the redemption prices set forth in the 2034 Notes Indenture, plus accrued and unpaid interest, if any. In addition, prior to May 1, 2029, the Company may redeem some or all of the 2034 Notes at a price equal to 100% of the principal amount thereof, plus accrued and unpaid interest, if any, plus a “make-whole” premium set forth in the 2034 Notes Indenture. The Company may redeem up to 40% of the 2034 Notes on or prior to May 1, 2029 with the proceeds of certain equity offerings at the redemption prices set forth in the 2034 Notes Indenture. If the Company or any of its restricted subsidiaries sells certain assets or if the Company consummates certain change in control transactions, the Company will be required to make an offer to repurchase the 2034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9 - Commitments and Contingencies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 the ordinary course of business, is a party to various legal and regulatory proceedings and other general claims. Although no assurances can be given, in management’s opinion, such outstanding proceedings are not expected to have a material adverse effect on the Company’s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OBS Loans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reimburse the Company’s bank partner for the outstanding principal amount plus accrued interest for all OBS Loans that are 90 days contractually past due. This obligation constitutes an off-balance sheet credit exposure for which the Company is required to recognize, upon inception of the obligation, a liability for the expected lifetime losses, which is included in accrued liabilities in the accompanying consolidated balance sheets. As of June 30, 2026, the outstanding amount of OBS Loans originated and held by the Company’s bank partner, which would represent the maximum exposure to the Company, was $35.2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liability for off-balance sheet credit exposure (in thousands):</w:t>
      </w:r>
    </w:p>
    <w:p>
      <w:pPr>
        <w:pStyle w:val="TextBody"/>
        <w:bidi w:val="0"/>
        <w:spacing w:before="0" w:after="0"/>
        <w:jc w:val="both"/>
        <w:rPr/>
      </w:pPr>
      <w:r>
        <w:rPr/>
      </w:r>
    </w:p>
    <w:tbl>
      <w:tblPr>
        <w:tblW w:w="6660" w:type="dxa"/>
        <w:jc w:val="left"/>
        <w:tblInd w:w="0" w:type="dxa"/>
        <w:tblLayout w:type="fixed"/>
        <w:tblCellMar>
          <w:top w:w="28" w:type="dxa"/>
          <w:left w:w="28" w:type="dxa"/>
          <w:bottom w:w="28" w:type="dxa"/>
          <w:right w:w="28" w:type="dxa"/>
        </w:tblCellMar>
      </w:tblPr>
      <w:tblGrid>
        <w:gridCol w:w="825"/>
        <w:gridCol w:w="726"/>
        <w:gridCol w:w="729"/>
        <w:gridCol w:w="196"/>
        <w:gridCol w:w="661"/>
        <w:gridCol w:w="109"/>
        <w:gridCol w:w="109"/>
        <w:gridCol w:w="109"/>
        <w:gridCol w:w="109"/>
        <w:gridCol w:w="196"/>
        <w:gridCol w:w="406"/>
        <w:gridCol w:w="109"/>
        <w:gridCol w:w="109"/>
        <w:gridCol w:w="109"/>
        <w:gridCol w:w="109"/>
        <w:gridCol w:w="196"/>
        <w:gridCol w:w="661"/>
        <w:gridCol w:w="109"/>
        <w:gridCol w:w="109"/>
        <w:gridCol w:w="109"/>
        <w:gridCol w:w="109"/>
        <w:gridCol w:w="196"/>
        <w:gridCol w:w="40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Pending Ramsdens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pending Ramsdens Acquisition, Ramsdens’ shareholders will be entitled to receive 675 pence per share in cash. In addition, Ramsdens’ shareholders will receive an interim cash dividend of up to 9 pence for each Ramsdens share to be paid on October 9, 2026. The total equity value for the Ramsdens Acquisition, including cash consideration for the shares, is approximately £231.7 million ($307.5 million USD using GBP/USD exchange rate of 1.33). The Company intends to borrow on its Credit Facility to finance the Ramsdens Acquisition and to pay related fees and expenses. The Company also entered into the Bridge Facility, which provides a backstop for the anticipated financing of the Ramsdens Acquisition and satisfies the “certain funds” requirements under the United Kingdom City Code on Takeovers and Mergers. The Ramsdens Acquisition is expected to be consummated by the end of 2026, subject to approval of Ramsdens’ shareholders, receipt of the required anti-trust and regulatory approvals and satisfaction of the remaining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Gold Forward Sales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contractual commitments to deliver a total of 43,500 gold ounces between July 2026 and September 2027 at a weighted-average price of $3,920 per ounce. The ounces required to be delivered over this time period are less than the historical volume of scrap gold normally produced, and the Company expects to have the required gold ounces to meet the commitments as they come due.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 Segment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organizes its operations into four reportable segments as follows: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pawn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Latin America pawn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U.K. pawn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Retail POS payment solutions (American First Finance or “AFF”)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and income, which include administrative expenses, corporate depreciation and amortization, interest expense, interest income, loss (gain)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acquisition of H&amp;T, the leading pawn operator in the United Kingdom, on August 14, 2025, the date on which the balance sheet and operating results of H&amp;T were included in the Company’s consolidated financial results.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reportable segment information for the three and six month periods ended June 30, 2026 and 2025, as well as certain segment assets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6"/>
        <w:gridCol w:w="744"/>
        <w:gridCol w:w="75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89"/>
        <w:gridCol w:w="109"/>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Corporate/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(122,738)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127,002 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6"/>
        <w:gridCol w:w="744"/>
        <w:gridCol w:w="75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89"/>
        <w:gridCol w:w="109"/>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br/>
              <w:t>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936,097 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2,126,339 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563,668 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803,921 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272,130 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609" w:type="dxa"/>
        <w:jc w:val="left"/>
        <w:tblInd w:w="0" w:type="dxa"/>
        <w:tblLayout w:type="fixed"/>
        <w:tblCellMar>
          <w:top w:w="28" w:type="dxa"/>
          <w:left w:w="28" w:type="dxa"/>
          <w:bottom w:w="28" w:type="dxa"/>
          <w:right w:w="28" w:type="dxa"/>
        </w:tblCellMar>
      </w:tblPr>
      <w:tblGrid>
        <w:gridCol w:w="665"/>
        <w:gridCol w:w="585"/>
        <w:gridCol w:w="59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48"/>
        <w:gridCol w:w="513"/>
        <w:gridCol w:w="139"/>
        <w:gridCol w:w="109"/>
        <w:gridCol w:w="109"/>
        <w:gridCol w:w="109"/>
        <w:gridCol w:w="281"/>
        <w:gridCol w:w="583"/>
        <w:gridCol w:w="157"/>
        <w:gridCol w:w="109"/>
        <w:gridCol w:w="109"/>
        <w:gridCol w:w="109"/>
        <w:gridCol w:w="196"/>
        <w:gridCol w:w="736"/>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Corporate/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799,263 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1"/>
        <w:gridCol w:w="850"/>
        <w:gridCol w:w="862"/>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196"/>
        <w:gridCol w:w="719"/>
        <w:gridCol w:w="109"/>
        <w:gridCol w:w="109"/>
        <w:gridCol w:w="109"/>
        <w:gridCol w:w="109"/>
        <w:gridCol w:w="196"/>
        <w:gridCol w:w="736"/>
        <w:gridCol w:w="157"/>
      </w:tblGrid>
      <w:tr>
        <w:trPr/>
        <w:tc>
          <w:tcPr>
            <w:tcW w:w="10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w:t>
              <w:br/>
              <w:t>America</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Corporate/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222,493 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(96,126)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81,079 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7"/>
        <w:gridCol w:w="824"/>
        <w:gridCol w:w="83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196"/>
        <w:gridCol w:w="796"/>
        <w:gridCol w:w="109"/>
        <w:gridCol w:w="109"/>
        <w:gridCol w:w="109"/>
        <w:gridCol w:w="109"/>
        <w:gridCol w:w="196"/>
        <w:gridCol w:w="736"/>
        <w:gridCol w:w="156"/>
      </w:tblGrid>
      <w:tr>
        <w:trPr/>
        <w:tc>
          <w:tcPr>
            <w:tcW w:w="97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br/>
              <w:t>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(181,747)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192,296 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793" w:type="dxa"/>
        <w:jc w:val="left"/>
        <w:tblInd w:w="0" w:type="dxa"/>
        <w:tblLayout w:type="fixed"/>
        <w:tblCellMar>
          <w:top w:w="28" w:type="dxa"/>
          <w:left w:w="28" w:type="dxa"/>
          <w:bottom w:w="28" w:type="dxa"/>
          <w:right w:w="28" w:type="dxa"/>
        </w:tblCellMar>
      </w:tblPr>
      <w:tblGrid>
        <w:gridCol w:w="665"/>
        <w:gridCol w:w="585"/>
        <w:gridCol w:w="594"/>
        <w:gridCol w:w="360"/>
        <w:gridCol w:w="511"/>
        <w:gridCol w:w="349"/>
        <w:gridCol w:w="109"/>
        <w:gridCol w:w="109"/>
        <w:gridCol w:w="109"/>
        <w:gridCol w:w="363"/>
        <w:gridCol w:w="373"/>
        <w:gridCol w:w="348"/>
        <w:gridCol w:w="109"/>
        <w:gridCol w:w="109"/>
        <w:gridCol w:w="109"/>
        <w:gridCol w:w="196"/>
        <w:gridCol w:w="406"/>
        <w:gridCol w:w="109"/>
        <w:gridCol w:w="109"/>
        <w:gridCol w:w="109"/>
        <w:gridCol w:w="109"/>
        <w:gridCol w:w="473"/>
        <w:gridCol w:w="263"/>
        <w:gridCol w:w="238"/>
        <w:gridCol w:w="109"/>
        <w:gridCol w:w="109"/>
        <w:gridCol w:w="109"/>
        <w:gridCol w:w="483"/>
        <w:gridCol w:w="268"/>
        <w:gridCol w:w="270"/>
        <w:gridCol w:w="109"/>
        <w:gridCol w:w="109"/>
        <w:gridCol w:w="109"/>
        <w:gridCol w:w="525"/>
        <w:gridCol w:w="346"/>
        <w:gridCol w:w="433"/>
      </w:tblGrid>
      <w:tr>
        <w:trPr/>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2025</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Corporate/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355,733</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100,689</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1,154,790 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185,189 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486,205 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1,826,184 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2,746,362 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722,882 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901,034 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143,971 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4,514,249 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4"/>
        </w:rPr>
        <w:t>ITEM 2.</w:t>
      </w:r>
      <w:r>
        <w:rPr>
          <w:color w:val="000000"/>
        </w:rPr>
        <w:t xml:space="preserve"> </w:t>
      </w:r>
      <w:r>
        <w:rPr>
          <w:rFonts w:ascii="Times New Roman;serif" w:hAnsi="Times New Roman;serif"/>
          <w:b/>
          <w:color w:val="000000"/>
          <w:sz w:val="24"/>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of financial condition, results of operations, liquidity and capital resources of FirstCash Holdings, Inc. and its wholly-owned subsidiaries (together, the “Company”) should be read in conjunction with the Company’s consolidated financial statements and accompanying notes included under Part I, Item 1 of this quarterly report on Form 10-Q, as well as with the audited consolidated financial statements and accompanying notes and Management’s Discussion and Analysis of Financial Condition and Results of Operations included in the Company’s Annual Report on Form 10-K for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primary line of business is the operation of retail pawn stores, also known as “pawnshops,” which focus on serving cash- and credit-constrained consumers. The Company is the leading international operator of pawn stores with locations in the U.S., Latin America and the U.K. Pawn stores help customers meet small short-term cash needs by providing non-recourse pawn loans and buying merchandise directly from customers. Personal property, such as jewelry, electronics, tools, appliances, sporting goods and musical instruments, is pledged and held as collateral for the pawn loans over the term of the loan. Pawn stores also generate retail sales primarily from the merchandise acquired through collateral forfeitures and over-the-counter purchases from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acquisition of H&amp;T, the leading pawn operator in the United Kingdom, on August 14, 2025, the date on which the balance sheet and operating results of H&amp;T were included in the Company’s consolidated financial results.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a leading provider of customer payment solutions at the POS for retailers of consumer goods and services, which it conducts solely through its subsidiary, AFF. The Company’s customer payment solutions business line focuses on LTO products and facilitating other retail financing payment options across a large network of traditional and e-commerce merchant partners in the U.S. AFF’s retail partners provide consumer goods and services to their customers and use AFF’s LTO and retail finance solutions to facilitate payments on such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two business lines are organized into four reportable segments. The U.S. pawn segment consists of pawn operations in the U.S.; the Latin America pawn segment consists of pawn operations in Mexico, Guatemala, El Salvador and Colombia; and the U.K. pawn segment consists of pawn operations in England, Scotland and Wales. The retail POS payment solutions segment consists of the operations of AFF in the U.S.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OPERATIONS AND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Pawn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operated 3,343 pawn store locations composed of 1,212 stores in 29 U.S. states and the District of Columbia, 1,729 stores in 32 states in Mexico, 77 stores in Guatemala, 18 stores in El Salvador, 12 stores in Colombia and 295 stores in the U.K.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pawn store count activity for the three and six months ended June 30, 2026:</w:t>
      </w:r>
    </w:p>
    <w:p>
      <w:pPr>
        <w:pStyle w:val="TextBody"/>
        <w:bidi w:val="0"/>
        <w:spacing w:before="0" w:after="0"/>
        <w:jc w:val="both"/>
        <w:rPr/>
      </w:pPr>
      <w:r>
        <w:rPr/>
      </w:r>
    </w:p>
    <w:tbl>
      <w:tblPr>
        <w:tblW w:w="7500" w:type="dxa"/>
        <w:jc w:val="left"/>
        <w:tblInd w:w="0" w:type="dxa"/>
        <w:tblLayout w:type="fixed"/>
        <w:tblCellMar>
          <w:top w:w="28" w:type="dxa"/>
          <w:left w:w="28" w:type="dxa"/>
          <w:bottom w:w="28" w:type="dxa"/>
          <w:right w:w="28" w:type="dxa"/>
        </w:tblCellMar>
      </w:tblPr>
      <w:tblGrid>
        <w:gridCol w:w="1161"/>
        <w:gridCol w:w="1020"/>
        <w:gridCol w:w="1028"/>
        <w:gridCol w:w="278"/>
        <w:gridCol w:w="278"/>
        <w:gridCol w:w="146"/>
        <w:gridCol w:w="126"/>
        <w:gridCol w:w="126"/>
        <w:gridCol w:w="126"/>
        <w:gridCol w:w="369"/>
        <w:gridCol w:w="369"/>
        <w:gridCol w:w="371"/>
        <w:gridCol w:w="126"/>
        <w:gridCol w:w="126"/>
        <w:gridCol w:w="126"/>
        <w:gridCol w:w="210"/>
        <w:gridCol w:w="211"/>
        <w:gridCol w:w="156"/>
        <w:gridCol w:w="126"/>
        <w:gridCol w:w="126"/>
        <w:gridCol w:w="126"/>
        <w:gridCol w:w="278"/>
        <w:gridCol w:w="278"/>
        <w:gridCol w:w="213"/>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New locations opened</w:t>
            </w:r>
            <w:r>
              <w:rPr>
                <w:color w:val="000000"/>
              </w:rPr>
              <w:t xml:space="preserve">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Locations acquired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Consolidation of existing pawn locations </w:t>
            </w:r>
            <w:r>
              <w:rPr>
                <w:rFonts w:ascii="Times New Roman;serif" w:hAnsi="Times New Roman;serif"/>
                <w:b w:val="false"/>
                <w:color w:val="000000"/>
                <w:sz w:val="12"/>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end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locations opened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Locations acquired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Consolidation of existing pawn locations </w:t>
            </w:r>
            <w:r>
              <w:rPr>
                <w:rFonts w:ascii="Times New Roman;serif" w:hAnsi="Times New Roman;serif"/>
                <w:b w:val="false"/>
                <w:color w:val="000000"/>
                <w:sz w:val="12"/>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locations, end of period</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Store consolidations, which include certain acquired locations that have been combined with overlapping stores, represent closings for which the Company expects to maintain a significant portion of the customer base in the consolidated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POS Payment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AFF provided LTO and retail POS payment solutions for consumer goods and services through a network of approximately 16,700 active retail merchant partner locations located in all 50 U.S. states and the District of Columbia, up from approximately 15,300 locations at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have been prepared in accordance with GAAP. The significant accounting policies and estimates that the Company believes are the most critical to aid in fully understanding and evaluating its reported financial results have been reported in the Company’s 2025 Annual Report on Form 10-K. There have been no changes to the Company’s significant accounting policies for the six months ended June 30, 2026.</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Results for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and related discussion set forth key operating and financial data for the Company’s operations by reporting segment as of and for the three months ended June 30, 2026 compared to the three months ended June 30, 2025 (in thousands).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and income, which include administrative expenses, corporate depreciation and amortization, interest expense, interest income, loss (gain)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6"/>
        <w:gridCol w:w="744"/>
        <w:gridCol w:w="75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89"/>
        <w:gridCol w:w="109"/>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Corporate/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(122,738)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127,002 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1"/>
        <w:gridCol w:w="850"/>
        <w:gridCol w:w="862"/>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196"/>
        <w:gridCol w:w="719"/>
        <w:gridCol w:w="109"/>
        <w:gridCol w:w="109"/>
        <w:gridCol w:w="109"/>
        <w:gridCol w:w="109"/>
        <w:gridCol w:w="196"/>
        <w:gridCol w:w="736"/>
        <w:gridCol w:w="157"/>
      </w:tblGrid>
      <w:tr>
        <w:trPr/>
        <w:tc>
          <w:tcPr>
            <w:tcW w:w="10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w:t>
              <w:br/>
              <w:t>America</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Corporate/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Intersegment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230,326 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222,493 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(96,126)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81,079 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detail earning assets, which consist of pawn loans and inventories as well as other earning asset metrics of the Company’s pawn segments, as of June 30, 2026 compared to June 30, 2025 (dollars in thousands, except as otherwise noted):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79"/>
        <w:gridCol w:w="1119"/>
        <w:gridCol w:w="1073"/>
        <w:gridCol w:w="109"/>
        <w:gridCol w:w="109"/>
        <w:gridCol w:w="109"/>
        <w:gridCol w:w="368"/>
        <w:gridCol w:w="368"/>
        <w:gridCol w:w="256"/>
        <w:gridCol w:w="109"/>
        <w:gridCol w:w="109"/>
        <w:gridCol w:w="109"/>
        <w:gridCol w:w="126"/>
        <w:gridCol w:w="126"/>
        <w:gridCol w:w="126"/>
        <w:gridCol w:w="368"/>
        <w:gridCol w:w="368"/>
        <w:gridCol w:w="298"/>
        <w:gridCol w:w="109"/>
        <w:gridCol w:w="109"/>
        <w:gridCol w:w="109"/>
        <w:gridCol w:w="109"/>
        <w:gridCol w:w="109"/>
        <w:gridCol w:w="109"/>
        <w:gridCol w:w="368"/>
        <w:gridCol w:w="368"/>
        <w:gridCol w:w="256"/>
        <w:gridCol w:w="109"/>
        <w:gridCol w:w="109"/>
        <w:gridCol w:w="109"/>
        <w:gridCol w:w="109"/>
        <w:gridCol w:w="109"/>
        <w:gridCol w:w="109"/>
        <w:gridCol w:w="435"/>
        <w:gridCol w:w="436"/>
        <w:gridCol w:w="305"/>
      </w:tblGrid>
      <w:tr>
        <w:trPr/>
        <w:tc>
          <w:tcPr>
            <w:tcW w:w="147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 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Pawn</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161,013 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570,493 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359,360 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1,468,048 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pawn loan amount (in ones)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pawn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3"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inventory aged greater than one year</w:t>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turns (trailing twelve months cost of merchandise sales divided by average inventories)</w:t>
            </w:r>
          </w:p>
        </w:tc>
        <w:tc>
          <w:tcPr>
            <w:tcW w:w="1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times</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Store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store count for the 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store count for the 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21"/>
        <w:gridCol w:w="1268"/>
        <w:gridCol w:w="1229"/>
        <w:gridCol w:w="109"/>
        <w:gridCol w:w="109"/>
        <w:gridCol w:w="109"/>
        <w:gridCol w:w="368"/>
        <w:gridCol w:w="368"/>
        <w:gridCol w:w="256"/>
        <w:gridCol w:w="109"/>
        <w:gridCol w:w="109"/>
        <w:gridCol w:w="109"/>
        <w:gridCol w:w="130"/>
        <w:gridCol w:w="130"/>
        <w:gridCol w:w="130"/>
        <w:gridCol w:w="368"/>
        <w:gridCol w:w="368"/>
        <w:gridCol w:w="305"/>
        <w:gridCol w:w="109"/>
        <w:gridCol w:w="109"/>
        <w:gridCol w:w="109"/>
        <w:gridCol w:w="109"/>
        <w:gridCol w:w="109"/>
        <w:gridCol w:w="109"/>
        <w:gridCol w:w="203"/>
        <w:gridCol w:w="203"/>
        <w:gridCol w:w="256"/>
        <w:gridCol w:w="109"/>
        <w:gridCol w:w="109"/>
        <w:gridCol w:w="109"/>
        <w:gridCol w:w="109"/>
        <w:gridCol w:w="109"/>
        <w:gridCol w:w="109"/>
        <w:gridCol w:w="368"/>
        <w:gridCol w:w="368"/>
        <w:gridCol w:w="304"/>
      </w:tblGrid>
      <w:tr>
        <w:trPr/>
        <w:tc>
          <w:tcPr>
            <w:tcW w:w="162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2025</w:t>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 America</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U.K.</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Pawn</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150,575 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550,718 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102,848 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253,423 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906,451 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pawn loan amount (in ones)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pawn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3"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Composition of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Jewelry</w:t>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merchandise</w:t>
            </w:r>
          </w:p>
        </w:tc>
        <w:tc>
          <w:tcPr>
            <w:tcW w:w="1063"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inventory aged greater than one year</w:t>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turns (trailing twelve months cost of merchandise sales divided by average inventories)</w:t>
            </w:r>
          </w:p>
        </w:tc>
        <w:tc>
          <w:tcPr>
            <w:tcW w:w="1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times</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Store count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store count for the 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Weighted-average store count for the 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 Pawn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Merchandise Sales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retail merchandise sales increased 10% to $275.7 million during the second quarter of 2026 compared to $249.9 million for the second quarter of 2025. Same-store retail sales increased 8% in the second quarter of 2026 compared to the second quarter of 2025. The increase in total and same-store retail sales was primarily due to continued strong demand for value priced merchandise and increased inventory levels during the second quarter of 2026 compared to the second quarter of 2025. The gross profit margin on retail merchandise sales in the U.S. was 43% during both the second quarter of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wholesale scrap jewelry revenue, consisting primarily of gold sales, increased 152% to $72.3 million during the second quarter of 2026 compared to $28.7 million during the second quarter of 2025. The scrap gross profit margin in the U.S. was 16% compared to the prior-year margin of 9%. The increase in wholesale scrap jewelry revenue was primarily due to increases in pawn lending activity over the past several quarters, which created more forfeited collateral to scrap, and the increase in gold prices over the past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inventories increased 28% to $324.1 million at June 30, 2026 compared to $252.9 million at June 30, 2025. The increase was primarily due to increases in pawn lending activity over the past several quarters, which created more forfeited inventory available for sale, partially offset by an increase in forfeited collateral that was scrapped. Inventories aged greater than one year in the U.S. were 1.5% at June 30, 2026, which excludes aged inventories from certain recently acquired stores, compared to 1.9% at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Pawn Lending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pawn loan receivables as of June 30, 2026 increased 20% in total and 19% on a same-store basis compared to June 30, 2025. The Company believes the increase in same-store pawn receivables was primarily due to continued strong customer demand from a combination of more customer transactions and an increase in the average loan amount requested by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pawn loan fees increased 15% to $150.1 million during the second quarter of 2026 compared to $130.9 million for the second quarter of 2025. Same-store pawn loan fees increased 14% in the second quarter of 2026 compared to the second quarter of 2025. The increase in total and same-store pawn loan fees was due to the higher pawn receivable balances.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Segment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operating expenses increased 6% to $142.4 million during the second quarter of 2026 compared to $133.8 million during the second quarter of 2025 while same-store operating expenses increased 5% compared with the prior-year period. The increase in operating expenses was primarily due to increased labor and variable compensation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Pre-Tax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segment pre-tax operating income for the second quarter of 2026 was $129.2 million, which generated a pre-tax segment operating margin of 26% compared to $98.3 million and 24% in the prior year, respectively. The increase in the segment pre-tax operating income and margin reflected increased net revenue, partially offset by an increase in segment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Latin America Pawn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segment pre-tax operating income for the three months ended June 30, 2026 compared to the three months ended June 30, 2025 benefited from an 11% favorable change in the average value of the Mexican peso compared to the U.S. dollar. The translated value of Latin American earning assets as of June 30, 2026 compared to June 30, 2025 also benefited from a 7% favorable change in the end-of-period Mexican peso compared to the U.S. dollar.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Merchandise Sales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retail merchandise sales increased 28% (15% on a constant currency basis) to $174.3 million during the second quarter of 2026 compared to $136.0 million for the second quarter of 2025. Same-store retail sales also increased 28% (15% on a constant currency basis) during the second quarter of 2026 compared to the second quarter of 2025. The increase in constant currency total and same-store retail sales was primarily due to strong demand for value priced merchandise and increased inventory levels during the second quarter of 2026 compared to the second quarter of 2025. The gross profit margin on retail merchandise sales was 35% during the second quarter of 2026 compared to 36% during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wholesale scrap jewelry revenue, consisting primarily of gold sales, increased 279% to $38.2 million during the second quarter of 2026 compared to $10.1 million during the second quarter of 2025. The scrap gross profit margin in Latin America was 14% for both the second quarter of 2026 and 2025. The increase in wholesale scrap jewelry revenue was primarily due to increases in pawn lending activity over the past several quarters, which created more forfeited collateral to scrap, and the increase in gold prices over the past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inventories increased 57% (45% on a constant currency basis) to $161.0 million at June 30, 2026 compared to $102.8 million at June 30, 2025. The increase in constant currency inventories was primarily due to increased pawn lending activity over the past several quarters, creating more forfeited inventory and a slightly increased mix of higher value jewelry inventory, partially offset by an increase in forfeited collateral that was scrapped. Inventories aged greater than one year in Latin America were 1.2% at June 30, 2026 compared to 1.5% at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Pawn Lending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pawn loan receivables increased 32% (22% on a constant currency basis) as of June 30, 2026 compared to June 30, 2025. On a same-store basis, pawn loan receivables also increased 32% (22% on a constant currency basis) as of June 30, 2026 compared to June 30, 2025. The increase in constant currency total and same-store pawn receivables is primarily due to the increased number of pawn loans and larger average loan sizes, driven in part by an increased mix of higher value jewelry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Latin America pawn loan fees increased 33% (19% on a constant currency basis), totaling $79.6 million during the second quarter of 2026 compared to $59.9 million for the second quarter of 2025. Same-store pawn fees also increased 33% (19% on a constant currency basis) in the second quarter of 2026 compared to the second quarter of 2025. The constant currency increase in total and same-store pawn loan fees was primarily due to increased constant currency pawn receivables.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increased 28% (15% on a constant currency basis) to $82.2 million during the second quarter of 2026 compared to $64.4 million during the second quarter of 2025. Same-store operating expenses also increased 28% (15% on a constant currency basis) compared to the prior-year period. The constant currency increase in total and same-store operating expenses was primarily driven by general inflationary impacts and continued increases in the federally mandated minimum wage.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Pre-Tax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pre-tax operating income for the second quarter of 2026 was $58.1 million, which generated a pre-tax segment operating margin of 20% compared to $41.0 million and 20% in the prior year, respectively. The increase in the segment pre-tax operating income reflected increased net revenue, partially offset by an increase in segment expenses.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U.K. Pawn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H&amp;T Acquisition on August 14, 2025, and the results of operations of H&amp;T have been consolidated since the acquisition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U.K. pawn segment contributed $95.3 million in revenue and $33.6 million in segment pre-tax operating income for the second quarter of 2026. The resulting segment pre-tax operating margin was 35%.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U.K. pawn loan receivables were $217.4 million and inventories were $85.4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Retail POS Payment Solutions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retail POS payment solutions gross transaction volumes originated during the three months ended June 30, 2026 as compared to the three months ended June 30, 2025 (in thousands):</w:t>
      </w:r>
    </w:p>
    <w:p>
      <w:pPr>
        <w:pStyle w:val="TextBody"/>
        <w:bidi w:val="0"/>
        <w:spacing w:before="0" w:after="0"/>
        <w:jc w:val="both"/>
        <w:rPr/>
      </w:pPr>
      <w:r>
        <w:rPr/>
      </w:r>
    </w:p>
    <w:tbl>
      <w:tblPr>
        <w:tblW w:w="4764" w:type="dxa"/>
        <w:jc w:val="left"/>
        <w:tblInd w:w="0" w:type="dxa"/>
        <w:tblLayout w:type="fixed"/>
        <w:tblCellMar>
          <w:top w:w="28" w:type="dxa"/>
          <w:left w:w="28" w:type="dxa"/>
          <w:bottom w:w="28" w:type="dxa"/>
          <w:right w:w="28" w:type="dxa"/>
        </w:tblCellMar>
      </w:tblPr>
      <w:tblGrid>
        <w:gridCol w:w="831"/>
        <w:gridCol w:w="730"/>
        <w:gridCol w:w="734"/>
        <w:gridCol w:w="196"/>
        <w:gridCol w:w="751"/>
        <w:gridCol w:w="109"/>
        <w:gridCol w:w="109"/>
        <w:gridCol w:w="109"/>
        <w:gridCol w:w="109"/>
        <w:gridCol w:w="196"/>
        <w:gridCol w:w="73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85,977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Finance receivables</w:t>
            </w:r>
            <w:r>
              <w:rPr>
                <w:color w:val="000000"/>
              </w:rPr>
              <w:t xml:space="preserve"> </w:t>
            </w:r>
            <w:r>
              <w:rPr>
                <w:rFonts w:ascii="Times New Roman;serif" w:hAnsi="Times New Roman;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137,680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transaction volume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223,657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For the three months ended June 30, 2026, includes $13.2 million of OBS Loans.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retail POS payment solutions earning assets as of June 30, 2026 as compared to June 30, 2025 (in thousands):</w:t>
      </w:r>
    </w:p>
    <w:p>
      <w:pPr>
        <w:pStyle w:val="TextBody"/>
        <w:bidi w:val="0"/>
        <w:spacing w:before="0" w:after="0"/>
        <w:jc w:val="both"/>
        <w:rPr/>
      </w:pPr>
      <w:r>
        <w:rPr/>
      </w:r>
    </w:p>
    <w:tbl>
      <w:tblPr>
        <w:tblW w:w="6548" w:type="dxa"/>
        <w:jc w:val="left"/>
        <w:tblInd w:w="0" w:type="dxa"/>
        <w:tblLayout w:type="fixed"/>
        <w:tblCellMar>
          <w:top w:w="28" w:type="dxa"/>
          <w:left w:w="28" w:type="dxa"/>
          <w:bottom w:w="28" w:type="dxa"/>
          <w:right w:w="28" w:type="dxa"/>
        </w:tblCellMar>
      </w:tblPr>
      <w:tblGrid>
        <w:gridCol w:w="1479"/>
        <w:gridCol w:w="1296"/>
        <w:gridCol w:w="1304"/>
        <w:gridCol w:w="196"/>
        <w:gridCol w:w="751"/>
        <w:gridCol w:w="109"/>
        <w:gridCol w:w="109"/>
        <w:gridCol w:w="109"/>
        <w:gridCol w:w="109"/>
        <w:gridCol w:w="196"/>
        <w:gridCol w:w="73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net: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before allowance for lease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lease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Leased merchandise, net </w:t>
            </w:r>
            <w:r>
              <w:rPr>
                <w:rFonts w:ascii="Times New Roman;serif" w:hAnsi="Times New Roman;serif"/>
                <w:b w:val="false"/>
                <w:color w:val="000000"/>
                <w:sz w:val="12"/>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Finance receivables, before allowance for loan losses</w:t>
            </w:r>
            <w:r>
              <w:rPr>
                <w:color w:val="000000"/>
              </w:rPr>
              <w:t xml:space="preserve"> </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loan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less than $0.1 million and $0.2 million of intersegment transactions as of June 30, 2026 and 2025, respectively, related to the Company offering AFF’s LTO payment solution in its U.S. pawn stores that are eliminated upon consolidation.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Does not include $35.2 million of outstanding OBS Loans held by AFF’s bank partner as of June 30, 2026. Combined finance receivables, before allowance for loan losses, and OBS Loans totaled $271.2 million as of June 30, 2026. See the “OBS Loans” section in Note 9 of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certain retail POS payment solutions portfolio metrics for the three months ended June 30, 2026 as compared to the three months ended June 30, 2025:</w:t>
      </w:r>
    </w:p>
    <w:p>
      <w:pPr>
        <w:pStyle w:val="TextBody"/>
        <w:bidi w:val="0"/>
        <w:spacing w:before="0" w:after="0"/>
        <w:jc w:val="both"/>
        <w:rPr/>
      </w:pPr>
      <w:r>
        <w:rPr/>
      </w:r>
    </w:p>
    <w:tbl>
      <w:tblPr>
        <w:tblW w:w="5320"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09"/>
        <w:gridCol w:w="109"/>
        <w:gridCol w:w="286"/>
        <w:gridCol w:w="109"/>
        <w:gridCol w:w="109"/>
        <w:gridCol w:w="109"/>
        <w:gridCol w:w="109"/>
        <w:gridCol w:w="109"/>
        <w:gridCol w:w="109"/>
        <w:gridCol w:w="109"/>
        <w:gridCol w:w="109"/>
        <w:gridCol w:w="256"/>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portfolio metrics: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portfolio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Calculated as provision for lease or loan losses as a percentage of the respective gross transaction volume originated.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Calculated as charge-offs, net of recoveries, as a percentage of the respective average earning asset balance before allowance for lease or loan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Calculated as the percentage of the respective contractual earning asset balance owed that is 1 to 89 days past due (the Company charges off leases and finance receivables when they are 90 days or more contractually past due).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LTO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Leased merchandise, before allowance for lease losses, decreased 17% to $141.7 million as of June 30, 2026 compared to $170.8 million as of June 30, 2025. The decrease was primarily due to decreased gross transaction volumes as a result of continued weakness in the furniture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lease losses decreased 18% to $57.1 million as of June 30, 2026 compared to $70.0 million as of June 30, 2025, which was primarily due to the decrease in leased merchandise balances outstanding. As a percentage of leased merchandise, the allowance was 40% at June 30, 2026 and 41% at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Leased merchandise income decreased 17% to $115.5 million during the second quarter of 2026 compared to $139.8 million during the second quarter of 2025, which was primarily due to lower average leased merchandise balances outstanding during the second quarter of 2026 compared to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of leased merchandise decreased 9% to $71.7 million during the second quarter of 2026 compared to $78.5 million during the second quarter of 2025, primarily due to the decrease in leased merchandise balances outstanding partially offset by increased early buyout activity resulting in an increase in accelerated depreciation during the second quarter of 2026 compared to the second quarter of 2025. As a percentage of leased merchandise income, depreciation of leased merchandise increased to 62% during the second quarter of 2026 from 56% during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lease losses decreased 25% to $24.5 million during the second quarter of 2026 compared to $32.7 million during the second quarter of 2025, which was primarily due to the 22% decrease in gross transaction volumes and slightly lower lease loss provisioning rates used during the second quarter of 2026 compared to the second quarter of 2025. As a percentage of gross transaction volume, the provision for lease losses decreased to 29% during the second quarter of 2026 compared to 30% during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Retail Finance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Finance receivables, before allowance for loan losses, decreased 15% as of June 30, 2026 compared to June 30, 2025. The decrease was primarily due to a shift in a number of finance receivable transaction volumes to OBS Loans, which are not included on the Company’s balance sheet. As of June 30, 2026, the outstanding amount of OBS Loans originated and held by the Company’s bank partner was $35.2 million. Including the OBS Loans, finance receivables, before allowance for loan losses would have decreased 2% as of June 30, 2026 compared to June 30, 2025, which was primarily due to the 8% decrease in gross transaction volume, which includes OBS Loans originated.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loan losses decreased 15% to $105.0 million as of June 30, 2026 compared to $122.9 million as of June 30, 2025, which was primarily due to the decrease in finance receivables outstanding. As a percentage of finance receivables, the allowance was 44% at both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and fees on retail finance products decreased 3% to $74.0 million during the second quarter of 2026 compared to $76.1 million during the second quarter of 2025. The decrease was primarily due to a slight decline in portfolio yield primarily as a result of AFF expanding its offerings and merchant relationships in certain services sector verticals over the past twelve months, some of which are provided at lower interest rates, partially offset by higher combined average finance receivable and OBS Loan balances outstanding during the second quarter of 2026 compared to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loan losses decreased 4% to $39.9 million during the second quarter of 2026 compared to $41.8 million during the second quarter of 2025, which was primarily due to the 8% decrease in gross transaction volumes, partially offset by slightly higher loan loss provisioning rates used during the second quarter of 2026 compared to the second quarter of 2025. As a percentage of gross transaction volume, the provision for loan losses increased to 29% during the second quarter of 2026 from 28% during the second quarter of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Segment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decreased 2% to $23.8 million during the second quarter of 2026 compared to $24.3 million during the second quarter of 2025. As a percentage of segment revenues, operating expenses increased to 13% during the second quarter of 2026 compared to 11% during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Segment Pre-Tax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retail POS payment solutions segment pre-tax operating income for the second quarter of 2026 was $28.7 million compared to $37.9 million in the second quarter of 2025. The decrease was primarily the result of the decrease in segment net revenue.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Corporate Expenses and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Administrative expenses increased 13% to $66.8 million during the second quarter of 2026 compared to $59.3 million in the second quarter of 2025, primarily due to the addition of administrative expenses of H&amp;T, increased variable compensation, general inflationary impacts and an 11% change in the average value of the Mexican peso resulting in higher U.S. dollar translated administrative expenses in Latin America, partially offset by the $11.0 million CFPB litigation settlement accrued for in the second quarter of 2025. As a percentage of revenue, administrative expenses decreased to 6% in the second quarter of 2026 compared to 7% during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increased 27% to $16.3 million during the second quarter of 2026 compared to $12.8 million in the second quarter of 2025, primarily due to the addition of depreciation and amortization expenses of H&amp;T during the second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36% to $35.7 million during the second quarter of 2026 compared to $26.3 million in the second quarter of 2025, primarily due to increased outstanding long-term debt balances. See Note 8 of Notes to Consolidated Financial Statements and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Merger and acquisition expenses increased 129% to $6.4 million during the second quarter of 2026 compared to $2.8 million in the second quarter of 2025, primarily due to $4.2 million of aggregate prepayment penalties incurred during the second quarter of 2026 to terminate the U.K. Term Loans as the Company continues its integration activities of H&amp;T.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Operating Results for the Six Months Ended June 30, 2026 Compared to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and related discussion set forth key operating and financial data for the Company’s operations by reporting segment for the six months ended June 30, 2026 compared to the six months ended June 30, 2025 (in thousands).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of the three pawn segments include salary and benefit expenses of store-level employees, occupancy costs, bank and other treasury fees, security, insurance, utilities, supplies and other costs incurred by the pawn stores. Operating expenses of the AFF segment include salary and benefit expenses of operations-focused departments, payment processing charges, data analytics and decisioning costs, information technology costs, advertising costs and other operational costs incurred by AFF.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and income, which include administrative expenses, corporate depreciation and amortization, interest expense, interest income, loss (gain) on foreign exchange, merger and acquisition expenses, and other income, net, are presented on a consolidated basis and are not allocated between the segments. Intersegment transactions related to AFF’s LTO payment solution product offered in U.S. pawn stores are eliminated from consolidated totals.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6"/>
        <w:gridCol w:w="744"/>
        <w:gridCol w:w="75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89"/>
        <w:gridCol w:w="109"/>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br/>
              <w:t xml:space="preserve">Intersegment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936,097 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2,126,339 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563,668 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803,921 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272,130 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7"/>
        <w:gridCol w:w="824"/>
        <w:gridCol w:w="83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196"/>
        <w:gridCol w:w="796"/>
        <w:gridCol w:w="109"/>
        <w:gridCol w:w="109"/>
        <w:gridCol w:w="109"/>
        <w:gridCol w:w="109"/>
        <w:gridCol w:w="196"/>
        <w:gridCol w:w="736"/>
        <w:gridCol w:w="156"/>
      </w:tblGrid>
      <w:tr>
        <w:trPr/>
        <w:tc>
          <w:tcPr>
            <w:tcW w:w="97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b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Latin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America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U.K.</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Retail POS</w:t>
              <w:br/>
              <w:t>Payment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br/>
              <w:t xml:space="preserve">Intersegment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retail finance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149,488 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leased merchandise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lease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and 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on foreign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(181,747)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192,296 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 Pawn Segment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Retail Merchandise Sales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retail merchandise sales increased 12% to $559.5 million during the six months ended June 30, 2026 compared to $501.1 million for the six months ended June 30, 2025. Same-store retail sales increased 8% during the six months ended June 30, 2026 compared to the six months ended June 30, 2025. The increase in total and same-store retail sales was primarily due to continued strong demand for value priced merchandise and increased inventory levels during the six months ended June 30, 2026 compared to the six months ended June 30, 2025. The gross profit margin on retail merchandise sales in the U.S. was 44% during the six months ended June 30, 2026 compared to 42%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wholesale scrap jewelry revenue, consisting primarily of gold sales, increased 92% to $119.7 million during the six months ended June 30, 2026 compared to $62.2 million during the six months ended June 30, 2025. The scrap gross profit margin in the U.S. was 19% compared to the prior-year margin of 14%. The increase in wholesale scrap jewelry revenue was primarily due to increases in pawn lending activity over the past several quarters, which created more forfeited collateral to scrap, and the increase in gold prices over the past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Pawn Lending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pawn loan fees increased 14% to $307.9 million during the six months ended June 30, 2026 compared to $268.9 million for the six months ended June 30, 2025. Same-store pawn loan fees increased 13% during the six months ended June 30, 2026 compared to the six months ended June 30, 2025. The increase in total and same-store pawn loan fees was primarily due to the higher pawn receivable balances.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operating expenses increased 9% to $286.2 million during the six months ended June 30, 2026 compared to $262.8 million during the six months ended June 30, 2025 while same-store operating expenses increased 7% compared with the prior-year period. The increase in operating expenses was primarily due to increased labor and variable compensation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Pre-Tax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segment pre-tax operating income for the six months ended June 30, 2026 was $270.6 million, which generated a pre-tax segment operating margin of 27% compared to $211.4 million and 25% in the prior year, respectively. The increase in the segment pre-tax operating income and margin reflected increased net revenue, partially offset by an increase in segment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Latin America Pawn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segment pre-tax operating income for the six months ended June 30, 2026 compared to the six months ended June 30, 2025 benefited from a 13% favorable change in the average value of the Mexican peso compared to the U.S. dollar. Constant currency results are non-GAAP financial measures, which exclude the effects of foreign currency translation and are calculated by translating current-year results at prior-year average exchange rates. See the “Constant Currency Results” section in “Non-GAAP Financial Information” below for additional discussion of constant currency operating results.</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Retail Merchandise Sales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Latin America retail merchandise sales increased 30% (15% on a constant currency basis) to $334.2 million during the six months ended June 30, 2026 compared to $256.5 million for the six months ended June 30, 2025. Same-store retail sales also increased 30% (15% on a constant currency basis) during the six months ended June 30, 2026 compared to the six months ended June 30, 2025. The increase in constant currency total and same-store retail sales was primarily due to strong demand for value priced merchandise and increased inventory levels during the six months ended June 30, 2026 compared to the six months ended June 30, 2025. The gross profit margin on retail merchandise sales was 35% during both the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Latin America wholesale scrap jewelry revenue, consisting primarily of gold sales, increased 198% to $58.8 million during the six months ended June 30, 2026 compared to $19.7 million during the six months ended June 30, 2025. The scrap gross profit margin in Latin America was 15% during both the six months ended June 30, 2026 and 2025. The increase in wholesale scrap jewelry revenue was primarily due to increases in pawn lending activity over the past several quarters, which created more forfeited collateral to scrap, and the increase in gold prices over the past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Pawn Lending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Latin America pawn loan fees increased 37% (21% on a constant currency basis) totaling $156.2 million during the six months ended June 30, 2026 compared to $113.8 million for the six months ended June 30, 2025. Same-store pawn fees also increased 37% (21% on a constant currency basis) during the six months ended June 30, 2026 compared to the six months ended June 30, 2025. The constant currency increase in total and same-store pawn loan fees was primarily due to increased constant currency pawn receivables.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Segment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increased 29% (15% increase on a constant currency basis) to $162.9 million during the six months ended June 30, 2026 compared to $125.8 million during the six months ended June 30, 2025. Same-store operating expenses increased 29% (14% increase on a constant currency basis) compared to the prior-year period. The constant currency increase in total and same-store operating expenses was primarily driven by general inflationary impacts and continued increases in the federally mandated minimum wage.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Pre-Tax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segment pre-tax operating income for the six months ended June 30, 2026 was $109.0 million, which generated a pre-tax segment operating margin of 20% compared to $72.4 million and 19% in the prior year, respectively. The increase in the segment pre-tax operating income and margin reflected increased net revenue, partially offset by an increase in segment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U.K. Pawn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H&amp;T Acquisition on August 14, 2025, and the results of operations of H&amp;T have been consolidated since the acquisition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U.K. pawn segment contributed $197.0 million in revenue and $72.8 million in pre-tax segment operating income for the six months ended June 30, 2026. The resulting pre-tax segment operating margin was 37%.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Retail POS Payment Solutions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retail POS payment solutions gross transaction volumes originated during the six months ended June 30, 2026 as compared to the six months ended June 30, 2025 (dollars in thousands):</w:t>
      </w:r>
    </w:p>
    <w:p>
      <w:pPr>
        <w:pStyle w:val="TextBody"/>
        <w:bidi w:val="0"/>
        <w:spacing w:before="0" w:after="0"/>
        <w:jc w:val="both"/>
        <w:rPr/>
      </w:pPr>
      <w:r>
        <w:rPr/>
      </w:r>
    </w:p>
    <w:tbl>
      <w:tblPr>
        <w:tblW w:w="5200" w:type="dxa"/>
        <w:jc w:val="left"/>
        <w:tblInd w:w="0" w:type="dxa"/>
        <w:tblLayout w:type="fixed"/>
        <w:tblCellMar>
          <w:top w:w="28" w:type="dxa"/>
          <w:left w:w="28" w:type="dxa"/>
          <w:bottom w:w="28" w:type="dxa"/>
          <w:right w:w="28" w:type="dxa"/>
        </w:tblCellMar>
      </w:tblPr>
      <w:tblGrid>
        <w:gridCol w:w="831"/>
        <w:gridCol w:w="730"/>
        <w:gridCol w:w="734"/>
        <w:gridCol w:w="196"/>
        <w:gridCol w:w="751"/>
        <w:gridCol w:w="109"/>
        <w:gridCol w:w="109"/>
        <w:gridCol w:w="109"/>
        <w:gridCol w:w="109"/>
        <w:gridCol w:w="196"/>
        <w:gridCol w:w="736"/>
        <w:gridCol w:w="109"/>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182,679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Finance receivables </w:t>
            </w:r>
            <w:r>
              <w:rPr>
                <w:rFonts w:ascii="Times New Roman;serif" w:hAnsi="Times New Roman;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transaction volume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465,836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For the six months ended June 30, 2026, includes $27.7 million of OBS Loans.</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certain retail POS payment solutions portfolio metrics for the six months ended June 30, 2026 as compared to the six months ended June 30, 2025:</w:t>
      </w:r>
    </w:p>
    <w:p>
      <w:pPr>
        <w:pStyle w:val="TextBody"/>
        <w:bidi w:val="0"/>
        <w:spacing w:before="0" w:after="0"/>
        <w:jc w:val="both"/>
        <w:rPr/>
      </w:pPr>
      <w:r>
        <w:rPr/>
      </w:r>
    </w:p>
    <w:tbl>
      <w:tblPr>
        <w:tblW w:w="5320"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09"/>
        <w:gridCol w:w="109"/>
        <w:gridCol w:w="286"/>
        <w:gridCol w:w="109"/>
        <w:gridCol w:w="109"/>
        <w:gridCol w:w="109"/>
        <w:gridCol w:w="109"/>
        <w:gridCol w:w="109"/>
        <w:gridCol w:w="109"/>
        <w:gridCol w:w="109"/>
        <w:gridCol w:w="109"/>
        <w:gridCol w:w="256"/>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merchandise portfolio metrics: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 portfolio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Provision rate </w:t>
            </w:r>
            <w:r>
              <w:rPr>
                <w:rFonts w:ascii="Times New Roman;serif" w:hAnsi="Times New Roman;serif"/>
                <w:b w:val="false"/>
                <w:color w:val="000000"/>
                <w:sz w:val="12"/>
              </w:rPr>
              <w:t>(1)</w:t>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Average monthly net charge-off rate </w:t>
            </w:r>
            <w:r>
              <w:rPr>
                <w:rFonts w:ascii="Times New Roman;serif" w:hAnsi="Times New Roman;serif"/>
                <w:b w:val="false"/>
                <w:color w:val="000000"/>
                <w:sz w:val="12"/>
              </w:rPr>
              <w:t>(2)</w:t>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Delinquency rate </w:t>
            </w:r>
            <w:r>
              <w:rPr>
                <w:rFonts w:ascii="Times New Roman;serif" w:hAnsi="Times New Roman;serif"/>
                <w:b w:val="false"/>
                <w:color w:val="000000"/>
                <w:sz w:val="12"/>
              </w:rPr>
              <w:t>(3)</w:t>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Calculated as provision for lease or loan losses as a percentage of the respective gross transaction volume originated.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Calculated as charge-offs, net of recoveries, as a percentage of the respective average earning asset balance before allowance for lease or loan losses.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Calculated as the percentage of the respective contractual earning asset balance owed that is 1 to 89 days past due (the Company charges off leases and finance receivables when they are 90 days or more contractually past due).</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LTO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Leased merchandise income decreased 17% to $245.7 million during the six months ended June 30, 2026 compared to $296.7 million for the six months ended June 30, 2025, which was primarily due to lower average leased merchandise balances outstanding during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of leased merchandise decreased 9% to $153.1 million during the six months ended June 30, 2026 compared to $167.7 million during the six months ended June 30, 2025, primarily due to the decrease in leased merchandise balances outstanding, partially offset by increased early buyout activity resulting in an increase in accelerated depreciation during the six months ended June 30, 2026 compared to the six months ended June 30, 2025. As a percentage of leased merchandise income, depreciation of leased merchandise increased to 62% during the six months ended June 30, 2026 from 57%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lease losses decreased 10% to $54.4 million during the six months ended June 30, 2026 compared to $60.3 million for the six months ended June 30, 2025, which was primarily due to the 11% decrease in gross transaction volumes during the six months ended June 30, 2026 compared to the six months ended June 30, 2025. As a percentage of gross transaction volume, the provision for lease losses increased slightly to 30% during the six months ended June 30, 2026 compared to 29%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Retail Finance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and fees on retail finance products decreased 1% to $148.3 million during the six months ended June 30, 2026 compared to $149.5 million for the six months ended June 30, 2025. The decrease was primarily due to a slight decline in portfolio yield primarily as a result of AFF expanding its offerings and merchant relationships in certain services sector verticals over the past twelve months, some of which are provided at lower interest rates, partially offset by higher combined average finance receivable and OBS Loan balances outstanding during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loan losses increased 6% to $82.8 million during the six months ended June 30, 2026 compared to $78.1 million for the six months ended June 30, 2025, which was primarily due to higher loan loss provisioning rates used during the six months ended June 30, 2026 compared to the six months ended June 30, 2025, partially offset by the 3% decrease in gross transaction volumes. As a percentage of gross transaction volume, the provision for loan losses increased to 29% during the six months ended June 30, 2026 compared to 27%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decreased 2% to $47.6 million during the six months ended June 30, 2026 compared to $48.5 million during the six months ended June 30, 2025. As a percentage of segment revenues, operating expenses increased to 12% during the six months ended June 30, 2026 from 11%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Segment Pre-Tax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retail POS payment solutions segment pre-tax operating income for the six months ended June 30, 2026 was $54.7 million compared to $90.2 million in the six months ended June 30, 2025. The decrease was primarily the result of the decrease in segment net revenue, partially offset by a decrease in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Corporate Expenses and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Administrative expenses increased 23% to $132.6 million during the six months ended June 30, 2026 compared to $107.8 million during the six months ended June 30, 2025, primarily due to the addition of administrative expenses of H&amp;T, increased variable compensation, general inflationary impacts, and a 13% change in the average value of the Mexican peso resulting in higher U.S. dollar translated administrative expenses in Latin America, partially offset by the $11.0 million CFPB litigation settlement accrued for in the second quarter of 2025. As a percentage of revenue, administrative expenses were 6% during both the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increased 27% to $32.4 million during the six months ended June 30, 2026 compared to $25.5 million in the six months ended June 30, 2025, primarily due to the addition of depreciation and amortization expenses of H&amp;T during the six months ended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31% to $70.2 million during the six months ended June 30, 2026 compared to $53.8 million for the six months ended June 30, 2025, primarily due to increased outstanding long-term debt balances. See Note 8 of Notes to Consolidated Financial Statements and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Merger and acquisition expenses increased 123% to $7.2 million during the six months ended June 30, 2026 compared to $3.2 million in the six months ended June 30, 2025, primarily due to $4.2 million of aggregate prepayment penalties incurred during the second quarter of 2026 to terminate the U.K. Term Loans as the Company continues its integration activities of H&amp;T.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Material Capital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primary capital requirements include the: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Expansion of pawn operations through growth of pawn receivables and inventories in existing stores, new store openings, strategic acquisitions of pawn stores and purchases of underlying real estate at new and existing locations;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Growth of earning assets in the retail POS payment solutions operations through transaction volumes generated from new and existing merchant partners;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Return of capital to shareholders through dividends and stock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material capital requirements include operating expenses (see Note 4 of Notes to Consolidated Financial Statements regarding operating lease commitments), maintenance capital expenditures related to its facilities, technology platforms, general corporate operating activities, income tax payments and debt service, among others. The Company believes that net cash provided by operating activities and available and unused funds under its revolving credit facilities will be adequate to meet its liquidity and capital needs for these items over the next 12 months and also in the longer-term beyond the next 12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Expand Pawn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continue expansion of its pawn operations through growth of pawn receivables and inventories in existing stores along with new store openings and acquisitions.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opened ten new stores in Latin America, nine new stores in the U.K., one new store in the U.S. and acquired eight pawn stores in the U.S. The Company evaluates potential acquisitions based upon growth potential, purchase price, available liquidity, strategic fit and quality of management personnel, among other factors. Future store openings and acquisitions are subject to the Company’s ability to identify acquisition opportunities and new location sites in markets with attractive demographics and favorable regulatory environments.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pending Ramsdens Acquisition, the Company expects to acquire the entire issued and to be issued share capital of Ramsdens by the end of 2026 by paying Ramsdens’ shareholders 675 pence per share in cash. In addition, Ramsdens’ shareholders will receive an interim cash dividend of up to 9 pence for each Ramsdens share to be paid on October 9, 2026. The total equity value for the Ramsdens Acquisition, including cash consideration for the shares, is approximately £231.7 million ($307.5 million USD using GBP/USD exchange rate of 1.33).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also incurred, and expects to incur additional costs, expenses and fees for professional services, financing and other transaction and integration costs in connection with the Ramsdens Acquisition and the H&amp;T Acquisition. The substantial majority of these costs will be non-recurring expenses. The Company plans to finance the Ramsdens Acquisition and other transaction and integration costs with available funds under the Credit Facility and believes it has adequate capacity to borrow the necessary funds under the most restrictive covenants under its credit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viewed by management as a discretionary expenditure not required to operate its pawn stores, the Company may continue to strategically purchase real estate from its landlords at existing stores or in conjunction with pawn store acquisitions as opportunities arise at reasonable valuations. During the six months ended June 30, 2026, the Company purchased the real estate at 23 store locations, primarily from landlords at existing stores, for a cumulative purchase price of $40.2 million. As of June 30, 2026, the Company owned the real estate at a total of 466 pawn locations, primarily in the U.S., along with its corporate headquarters building in Fort Worth, Texas.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proposed Ramsdens Acquisition, the Company currently has no other contractual commitments for materially significant future acquisitions, business combinations or capital commitments.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Expand Retail POS Payment Solutions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AFF expects to expand its business primarily by promoting and expanding relationships with both new and existing customers and retail merchant partners. In addition, AFF has made, and intends to continue to make, investments in its customer and merchant support operations and facilities, its technology platforms and its proprietary decisioning platforms and processes. In addition to utilizing cash flows generated from its own operations to fund expected 2026 growth, AFF has access to the additional sources of liquidity described below if needed to fund further expansion activities.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Return of Capital to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paid quarterly cash dividends to its shareholders totaling $36.9 million. In July 2026, the Company’s Board of Directors declared a $0.42 per share third quarter cash dividend on common shares outstanding, or an aggregate of $18.3 million based on the June 30, 2026 share count, to be paid on August 28, 2026 to stockholders of record as of August 14, 2026. While the Company currently expects to continue the payment of quarterly cash dividends, the amount, declaration and payment of cash dividends in the future (quarterly or otherwise) will be made by the Board of Directors, from time to time, subject to the Company’s financial condition, results of operations, business requirements, compliance with legal requirements, debt covenant restrictions and other relevant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repurchased a total of 618,000 shares of common stock at an aggregate cost of $126.6 million and an average cost per share of $204.77. The Company incurred $1.3 million of excise taxes during the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July 2026, the Company repurchased a total of 107,000 shares of common stock at an aggregate cost of $23.4 million and an average cost per share of $218.04, which completed the share repurchase program authorized in October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Board of Directors authorized a common stock repurchase program for up to $150.0 million of the Company’s outstanding common stock, of which the entire $150.0 million is currently remaining. The Company intends to continue repurchases under its active share repurchase program, including through open market transactions under trading plans in accordance with Rule 10b5-1 and Rule 10b-18 under the Securities Exchange Act of 1934, as amended (the “Exchange Act”), subject to a variety of factors, including, but not limited to, the level of cash balances, liquidity needs, credit availability, debt covenant restrictions, general business and economic conditions, regulatory requirements, the market price of the Company’s stock, the Company’s dividend policy and the availability of acquisitions or other alternative investment opportunities.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regularly evaluates opportunities to optimize its capital structure, including through consideration of the issuance of debt or equity, to refinance existing debt and to enter into interest rate hedge transactions, such as interest rate swap agreements. As of June 30, 2026, the Company’s primary sources of liquidity were $172.3 million in cash and cash equivalents and $661.9 million of available and unused funds under the Company’s revolving unsecured credit facilities, subject to certain financial covenants (see Note 8 of Notes to Consolidated Financial Statements). During the six months ended June 30, 2026, the Company repaid in full all outstanding amounts under its U.K. Credit Facility and U.K. Term Loans, and the related credit agreements were terminated. The Company had working capital of $1,605.6 million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and cash equivalents as of June 30, 2026 included $69.1 million held by its foreign subsidiaries. These cash balances, which are primarily held in Mexican pesos and British pound sterling, are associated with foreign earnings the Company has asserted are indefinitely reinvested and which the Company plans to use to support its continued growth plans outside the U.S. through funding of capital expenditures, acquisitions, operating expenses or other similar cash needs of the Company’s foreign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liquidity is affected by a number of factors, including changes in general customer traffic and demand, pawn loan balances, collection of pawn fees, merchandise sales, inventory levels, LTO merchandise, finance receivable balances, collection of lease and finance receivable payments, seasonality, operating expenses, administrative expenses, expenses related to merger and acquisition activities, litigation-related expenses, tax rates, gold prices, foreign currency exchange rates and the pace of new pawn store expansion and acquisitions, including the pending Ramsdens Acquisition. Additionally, a prolonged reduction in earnings and EBITDA could limit the Company’s future ability to fully borrow on its credit facilities under current leverage covenants. Regulatory developments affecting the Company’s operations may also impact profitability and liquidity. See “Governmental Regulation.”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needed, the Company could seek to raise additional funds from a variety of sources, including, but not limited to, the sale of assets, reductions in operating expenses, capital expenditures and dividends, the forbearance or deferral of certain operating expenses, the issuance of debt or equity securities, utilizing other structured financing arrangements, the leveraging of currently unencumbered real estate owned by the Company and/or changes to its management of current assets. The characteristics of the Company’s current assets, specifically the ability to rapidly liquidate gold jewelry inventory, which accounts for 66% of total inventory, give the Company flexibility to quickly increase cash flow if necessary.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Cash Flows and Liquidity Metrics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information with respect to the Company’s sources and uses of cash and other key indicators of liquidity (dollars in thousands):</w:t>
      </w:r>
    </w:p>
    <w:p>
      <w:pPr>
        <w:pStyle w:val="TextBody"/>
        <w:bidi w:val="0"/>
        <w:spacing w:before="0" w:after="0"/>
        <w:jc w:val="both"/>
        <w:rPr/>
      </w:pPr>
      <w:r>
        <w:rPr/>
      </w:r>
    </w:p>
    <w:tbl>
      <w:tblPr>
        <w:tblW w:w="6051" w:type="dxa"/>
        <w:jc w:val="left"/>
        <w:tblInd w:w="0" w:type="dxa"/>
        <w:tblLayout w:type="fixed"/>
        <w:tblCellMar>
          <w:top w:w="28" w:type="dxa"/>
          <w:left w:w="28" w:type="dxa"/>
          <w:bottom w:w="28" w:type="dxa"/>
          <w:right w:w="28" w:type="dxa"/>
        </w:tblCellMar>
      </w:tblPr>
      <w:tblGrid>
        <w:gridCol w:w="1130"/>
        <w:gridCol w:w="991"/>
        <w:gridCol w:w="999"/>
        <w:gridCol w:w="109"/>
        <w:gridCol w:w="109"/>
        <w:gridCol w:w="109"/>
        <w:gridCol w:w="196"/>
        <w:gridCol w:w="811"/>
        <w:gridCol w:w="109"/>
        <w:gridCol w:w="109"/>
        <w:gridCol w:w="109"/>
        <w:gridCol w:w="109"/>
        <w:gridCol w:w="196"/>
        <w:gridCol w:w="81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flow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flow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(252,143)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flow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355" w:type="dxa"/>
        <w:jc w:val="left"/>
        <w:tblInd w:w="0" w:type="dxa"/>
        <w:tblLayout w:type="fixed"/>
        <w:tblCellMar>
          <w:top w:w="28" w:type="dxa"/>
          <w:left w:w="28" w:type="dxa"/>
          <w:bottom w:w="28" w:type="dxa"/>
          <w:right w:w="28" w:type="dxa"/>
        </w:tblCellMar>
      </w:tblPr>
      <w:tblGrid>
        <w:gridCol w:w="467"/>
        <w:gridCol w:w="410"/>
        <w:gridCol w:w="412"/>
        <w:gridCol w:w="109"/>
        <w:gridCol w:w="109"/>
        <w:gridCol w:w="109"/>
        <w:gridCol w:w="196"/>
        <w:gridCol w:w="886"/>
        <w:gridCol w:w="109"/>
        <w:gridCol w:w="109"/>
        <w:gridCol w:w="109"/>
        <w:gridCol w:w="109"/>
        <w:gridCol w:w="196"/>
        <w:gridCol w:w="87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Working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1,605,593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ratio</w:t>
            </w:r>
          </w:p>
        </w:tc>
        <w:tc>
          <w:tcPr>
            <w:tcW w:w="15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4.9:1</w:t>
            </w:r>
          </w:p>
        </w:tc>
        <w:tc>
          <w:tcPr>
            <w:tcW w:w="15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$86.9 million, or 36%, from $243.5 million for the six months ended June 30, 2025 to $330.4 million for the six months ended June 30, 2026 due to net changes in certain non-cash adjustments to reconcile net income to operating cash flow and net changes in other operating assets and liabilities (as detailed in the consolidated statements of cash flows) and an increase in net income of $57.8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Used in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$77.9 million, or 45%, from $174.2 million for the six months ended June 30, 2025 to $252.1 million for the six months ended June 30, 2026. Cash flows from investing activities are utilized primarily to fund pawn store acquisitions, purchase furniture, fixtures, equipment and improvements, which includes capital expenditures for improvements to existing stores and for new pawn store openings and other corporate assets, and discretionary purchases of store real property. In addition, cash flows related to the funding of new pawn loans, net of cash repayments and recovery of principal through the sale of inventories acquired from forfeiture of pawn collateral and changes in net finance receivables, are included in investing activities. The Company paid $37.9 million for furniture, fixtures, equipment and improvements and $40.2 million for discretionary pawn store real property purchases during the six months ended June 30, 2026 compared to $25.9 million and $28.1 million in the prior-year period, respectively. The Company paid $11.5 million in cash related to pawn store acquisitions during the six months ended June 30, 2026 compared to $33.6 million during the six months ended June 30, 2025. The Company funded a net increase in pawn loans of $148.0 million during the six months ended June 30, 2026 and funded a net increase of $30.6 million during the six months ended June 30, 2025. The Company funded a net increase in finance receivables of $14.5 million during the six months ended June 30, 2026 and $56.0 million during the six months ended June 30,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Used in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$113.0 million, or 77%, from $146.0 million for the six months ended June 30, 2025 to $33.0 million for the six months ended June 30, 2026. Net payments on credit facilities were $544.5 million during the six months ended June 30, 2026 compared to net payments of $46.0 million during the six months ended June 30, 2025. During the six months ended June 30, 2026, the Company received $750.0 million in proceeds from the offering of its 2034 Notes which was used to repay a portion of the outstanding balance on the Credit Facility, and to repay the U.K. Credit Facility in full and to repay the U.K. Term Loans in full, each of which were assumed as part of the H&amp;T acquisition in 2025, after payment of fees and expenses related to the offering. The Company paid debt issuance costs of $8.8 million during the six months ended June 30, 2026. The Company paid $60.5 million to terminate the U.K. Term Loans and paid $4.2 million in related prepayment penalties. The Company funded $116.9 million of share repurchases during the six months ended June 30, 2026 compared to $60.5 million during the six months ended June 30, 2025. The Company paid dividends of $36.9 million during the six months ended June 30, 2026 compared to $33.8 million during the six months ended June 30, 2025. In addition, the Company paid withholding taxes of $11.2 million on net share settlements of restricted stock awards during the six months ended June 30, 2026 compared to $5.8 million during the six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GOVERNMENTAL REGULATION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pawn and retail POS payment solutions businesses are subject to significant regulation in all of the jurisdictions in which it operates. Existing regulations and regulatory developments are further and more completely described under “Governmental Regulation” in Part I, Item 1 of the Company’s 2025 Annual Report on Form 10-K filed with the SEC on February 9, 2026 and in subsequent documents filed with the SEC. There have been no changes to the significant regulation that the Company’s businesses are subject to that the Company believes would have a material impact on its businesses or results of operation from those described in the </w:t>
      </w:r>
      <w:r>
        <w:rPr>
          <w:rFonts w:ascii="Times New Roman;serif" w:hAnsi="Times New Roman;serif"/>
          <w:b w:val="false"/>
          <w:color w:val="000000"/>
          <w:sz w:val="20"/>
          <w:shd w:fill="FFFFFF" w:val="clear"/>
        </w:rPr>
        <w:t xml:space="preserve">Annual Report on Form 10-K for the year ended December 31, </w:t>
      </w:r>
      <w:r>
        <w:rPr>
          <w:rFonts w:ascii="Times New Roman;serif" w:hAnsi="Times New Roman;serif"/>
          <w:b w:val="false"/>
          <w:color w:val="000000"/>
          <w:sz w:val="20"/>
        </w:rPr>
        <w:t>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certain financial calculations such as adjusted net income, adjusted diluted earnings per share, EBITDA, adjusted EBITDA, free cash flow, adjusted free cash flow and constant currency results as factors in the measurement and evaluation of the Company’s operating performance and period-over-period growth. The Company derives these financial calculations on the basis of methodologies other than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adjusted the applicable financial calculations to exclude merger and acquisition expenses, amortization of acquired intangible assets, the CFPB litigation settlement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costs related to the consolidation of technology systems and corporate facilities and other integration costs, among others.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Adjusted Net Income and Adjusted Diluted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are not representative of the Company’s core operating performance. In addition, management believes the adjustments shown below are useful to investors in order to allow them to compare the Company’s financial results for the current periods presented with the prior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between net income and diluted earnings per share calculated in accordance with GAAP to adjusted net income and adjusted diluted earnings per share, which are shown net of tax (in thousands, except per share amounts):</w:t>
      </w:r>
    </w:p>
    <w:p>
      <w:pPr>
        <w:pStyle w:val="TextBody"/>
        <w:bidi w:val="0"/>
        <w:spacing w:before="0" w:after="0"/>
        <w:jc w:val="both"/>
        <w:rPr/>
      </w:pPr>
      <w:r>
        <w:rPr/>
      </w:r>
    </w:p>
    <w:tbl>
      <w:tblPr>
        <w:tblW w:w="10618" w:type="dxa"/>
        <w:jc w:val="left"/>
        <w:tblInd w:w="0" w:type="dxa"/>
        <w:tblLayout w:type="fixed"/>
        <w:tblCellMar>
          <w:top w:w="28" w:type="dxa"/>
          <w:left w:w="28" w:type="dxa"/>
          <w:bottom w:w="28" w:type="dxa"/>
          <w:right w:w="28" w:type="dxa"/>
        </w:tblCellMar>
      </w:tblPr>
      <w:tblGrid>
        <w:gridCol w:w="606"/>
        <w:gridCol w:w="229"/>
        <w:gridCol w:w="231"/>
        <w:gridCol w:w="196"/>
        <w:gridCol w:w="751"/>
        <w:gridCol w:w="109"/>
        <w:gridCol w:w="109"/>
        <w:gridCol w:w="109"/>
        <w:gridCol w:w="109"/>
        <w:gridCol w:w="196"/>
        <w:gridCol w:w="646"/>
        <w:gridCol w:w="109"/>
        <w:gridCol w:w="109"/>
        <w:gridCol w:w="109"/>
        <w:gridCol w:w="109"/>
        <w:gridCol w:w="196"/>
        <w:gridCol w:w="481"/>
        <w:gridCol w:w="109"/>
        <w:gridCol w:w="109"/>
        <w:gridCol w:w="109"/>
        <w:gridCol w:w="109"/>
        <w:gridCol w:w="196"/>
        <w:gridCol w:w="466"/>
        <w:gridCol w:w="109"/>
        <w:gridCol w:w="109"/>
        <w:gridCol w:w="109"/>
        <w:gridCol w:w="109"/>
        <w:gridCol w:w="196"/>
        <w:gridCol w:w="751"/>
        <w:gridCol w:w="109"/>
        <w:gridCol w:w="109"/>
        <w:gridCol w:w="109"/>
        <w:gridCol w:w="109"/>
        <w:gridCol w:w="196"/>
        <w:gridCol w:w="736"/>
        <w:gridCol w:w="109"/>
        <w:gridCol w:w="109"/>
        <w:gridCol w:w="109"/>
        <w:gridCol w:w="109"/>
        <w:gridCol w:w="196"/>
        <w:gridCol w:w="481"/>
        <w:gridCol w:w="109"/>
        <w:gridCol w:w="109"/>
        <w:gridCol w:w="109"/>
        <w:gridCol w:w="109"/>
        <w:gridCol w:w="196"/>
        <w:gridCol w:w="46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Per Share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and diluted earnings per share, as reported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net of tax:</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and diluted earnings per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229,162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Earnings Before Interest, Taxes, Depreciation and Amortization (EBITDA) and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6"/>
        <w:gridCol w:w="415"/>
        <w:gridCol w:w="376"/>
        <w:gridCol w:w="109"/>
        <w:gridCol w:w="109"/>
        <w:gridCol w:w="109"/>
        <w:gridCol w:w="374"/>
        <w:gridCol w:w="377"/>
        <w:gridCol w:w="109"/>
        <w:gridCol w:w="109"/>
        <w:gridCol w:w="109"/>
        <w:gridCol w:w="109"/>
        <w:gridCol w:w="109"/>
        <w:gridCol w:w="109"/>
        <w:gridCol w:w="109"/>
        <w:gridCol w:w="368"/>
        <w:gridCol w:w="368"/>
        <w:gridCol w:w="109"/>
        <w:gridCol w:w="109"/>
        <w:gridCol w:w="109"/>
        <w:gridCol w:w="109"/>
        <w:gridCol w:w="109"/>
        <w:gridCol w:w="109"/>
        <w:gridCol w:w="109"/>
        <w:gridCol w:w="375"/>
        <w:gridCol w:w="376"/>
        <w:gridCol w:w="109"/>
        <w:gridCol w:w="109"/>
        <w:gridCol w:w="109"/>
        <w:gridCol w:w="109"/>
        <w:gridCol w:w="109"/>
        <w:gridCol w:w="109"/>
        <w:gridCol w:w="109"/>
        <w:gridCol w:w="368"/>
        <w:gridCol w:w="368"/>
        <w:gridCol w:w="109"/>
        <w:gridCol w:w="109"/>
        <w:gridCol w:w="109"/>
        <w:gridCol w:w="109"/>
        <w:gridCol w:w="109"/>
        <w:gridCol w:w="109"/>
        <w:gridCol w:w="109"/>
        <w:gridCol w:w="375"/>
        <w:gridCol w:w="376"/>
        <w:gridCol w:w="109"/>
        <w:gridCol w:w="109"/>
        <w:gridCol w:w="109"/>
        <w:gridCol w:w="109"/>
        <w:gridCol w:w="109"/>
        <w:gridCol w:w="109"/>
        <w:gridCol w:w="109"/>
        <w:gridCol w:w="368"/>
        <w:gridCol w:w="368"/>
        <w:gridCol w:w="155"/>
      </w:tblGrid>
      <w:tr>
        <w:trPr/>
        <w:tc>
          <w:tcPr>
            <w:tcW w:w="6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Depreciation and amortization</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787,685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 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201,431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412,062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802,442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 $15.1 million, $30.2 million and $59.6 million of amortization expense related to identifiable intangible assets for the three months, six months and trailing twelve months ended June 30, 2026, respectively. Includes $12.0 million, $24.0 million and $48.9 million of amortization expense related to identifiable intangible assets for the three months, six months and trailing twelve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Free Cash Flow and Adjusted Free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loan and finance receivables,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and adjusted free cash flow are commonly used by investors as additional measures of cash generated by business operations that may be used to repay scheduled debt maturities and debt service or, following payment of such debt obligations and other non-discretionary items, that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3"/>
        <w:gridCol w:w="630"/>
        <w:gridCol w:w="635"/>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9"/>
        <w:gridCol w:w="157"/>
      </w:tblGrid>
      <w:tr>
        <w:trPr/>
        <w:tc>
          <w:tcPr>
            <w:tcW w:w="96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Trailing Twelve</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Months Ended</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176,777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certain 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made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(1,329,288)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(2,529,810)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(1,770,554)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 repaid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776,118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1,442,058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pawn loan principal through sale of forfeited collateral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193,646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832,441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661,991 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finance receivables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(196,310)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(554,419)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finance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94,206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181,848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396,691 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furniture, fixtures, equipment and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 paid, net of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62,797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135,450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309,049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266,544 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Constant Currency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however, certain performance metrics discussed in this report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results for the Latin America pawn segment using the exchange rate from the prior-year comparable periods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0"/>
        <w:gridCol w:w="707"/>
        <w:gridCol w:w="717"/>
        <w:gridCol w:w="196"/>
        <w:gridCol w:w="736"/>
        <w:gridCol w:w="109"/>
        <w:gridCol w:w="109"/>
        <w:gridCol w:w="109"/>
        <w:gridCol w:w="109"/>
        <w:gridCol w:w="196"/>
        <w:gridCol w:w="706"/>
        <w:gridCol w:w="109"/>
        <w:gridCol w:w="109"/>
        <w:gridCol w:w="109"/>
        <w:gridCol w:w="109"/>
        <w:gridCol w:w="204"/>
        <w:gridCol w:w="772"/>
        <w:gridCol w:w="115"/>
        <w:gridCol w:w="109"/>
        <w:gridCol w:w="109"/>
        <w:gridCol w:w="109"/>
        <w:gridCol w:w="196"/>
        <w:gridCol w:w="736"/>
        <w:gridCol w:w="109"/>
        <w:gridCol w:w="109"/>
        <w:gridCol w:w="109"/>
        <w:gridCol w:w="109"/>
        <w:gridCol w:w="196"/>
        <w:gridCol w:w="706"/>
        <w:gridCol w:w="109"/>
        <w:gridCol w:w="109"/>
        <w:gridCol w:w="109"/>
        <w:gridCol w:w="109"/>
        <w:gridCol w:w="204"/>
        <w:gridCol w:w="770"/>
        <w:gridCol w:w="167"/>
      </w:tblGrid>
      <w:tr>
        <w:trPr/>
        <w:tc>
          <w:tcPr>
            <w:tcW w:w="8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 merchandise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294,515 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137,639 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scrap jewelry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retail merchandise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192,107 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wholesale scrap jewelry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235,856 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pre-tax operating income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55,836 </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102,482 </w:t>
            </w:r>
          </w:p>
        </w:tc>
        <w:tc>
          <w:tcPr>
            <w:tcW w:w="1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earning assets for the Latin America pawn segment using the exchange rate from the prior-year comparable period (in thousands):</w:t>
      </w:r>
    </w:p>
    <w:p>
      <w:pPr>
        <w:pStyle w:val="TextBody"/>
        <w:bidi w:val="0"/>
        <w:spacing w:before="0" w:after="0"/>
        <w:jc w:val="both"/>
        <w:rPr/>
      </w:pPr>
      <w:r>
        <w:rPr/>
      </w:r>
    </w:p>
    <w:tbl>
      <w:tblPr>
        <w:tblW w:w="5059" w:type="dxa"/>
        <w:jc w:val="left"/>
        <w:tblInd w:w="0" w:type="dxa"/>
        <w:tblLayout w:type="fixed"/>
        <w:tblCellMar>
          <w:top w:w="28" w:type="dxa"/>
          <w:left w:w="28" w:type="dxa"/>
          <w:bottom w:w="28" w:type="dxa"/>
          <w:right w:w="28" w:type="dxa"/>
        </w:tblCellMar>
      </w:tblPr>
      <w:tblGrid>
        <w:gridCol w:w="429"/>
        <w:gridCol w:w="377"/>
        <w:gridCol w:w="378"/>
        <w:gridCol w:w="196"/>
        <w:gridCol w:w="736"/>
        <w:gridCol w:w="109"/>
        <w:gridCol w:w="109"/>
        <w:gridCol w:w="109"/>
        <w:gridCol w:w="109"/>
        <w:gridCol w:w="196"/>
        <w:gridCol w:w="721"/>
        <w:gridCol w:w="109"/>
        <w:gridCol w:w="109"/>
        <w:gridCol w:w="109"/>
        <w:gridCol w:w="109"/>
        <w:gridCol w:w="207"/>
        <w:gridCol w:w="782"/>
        <w:gridCol w:w="16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2026</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Constant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Fluctuations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(Non-GAAP)</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Pawn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184,086 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333,498 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exchange rates for the Mexican peso, Guatemalan quetzal, Colombian peso and British pound sterling for the current and prior-year periods:  </w:t>
      </w:r>
    </w:p>
    <w:p>
      <w:pPr>
        <w:pStyle w:val="TextBody"/>
        <w:bidi w:val="0"/>
        <w:spacing w:before="0" w:after="0"/>
        <w:jc w:val="both"/>
        <w:rPr/>
      </w:pPr>
      <w:r>
        <w:rPr/>
      </w:r>
    </w:p>
    <w:tbl>
      <w:tblPr>
        <w:tblW w:w="6667" w:type="dxa"/>
        <w:jc w:val="left"/>
        <w:tblInd w:w="0" w:type="dxa"/>
        <w:tblLayout w:type="fixed"/>
        <w:tblCellMar>
          <w:top w:w="28" w:type="dxa"/>
          <w:left w:w="28" w:type="dxa"/>
          <w:bottom w:w="28" w:type="dxa"/>
          <w:right w:w="28" w:type="dxa"/>
        </w:tblCellMar>
      </w:tblPr>
      <w:tblGrid>
        <w:gridCol w:w="1314"/>
        <w:gridCol w:w="1156"/>
        <w:gridCol w:w="1160"/>
        <w:gridCol w:w="169"/>
        <w:gridCol w:w="169"/>
        <w:gridCol w:w="173"/>
        <w:gridCol w:w="109"/>
        <w:gridCol w:w="109"/>
        <w:gridCol w:w="109"/>
        <w:gridCol w:w="169"/>
        <w:gridCol w:w="169"/>
        <w:gridCol w:w="173"/>
        <w:gridCol w:w="109"/>
        <w:gridCol w:w="109"/>
        <w:gridCol w:w="109"/>
        <w:gridCol w:w="109"/>
        <w:gridCol w:w="109"/>
        <w:gridCol w:w="109"/>
        <w:gridCol w:w="201"/>
        <w:gridCol w:w="205"/>
        <w:gridCol w:w="256"/>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Favorable /</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(Unfavorable)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Mexican peso exchange rate:</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Guatemalan quetzal exchange rate: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dollar / Colombian peso exchange rate: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British pound sterling / U.S. dollar exchange rate: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End-of-period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risks relating to the Company’s operations result primarily from changes in interest rates, gold prices and foreign currency exchange rates and are described in detail in the Company’s 2025 Annual Report on Form 10-K. The impact of current-year fluctuations in foreign currency exchange rates, in particular, are further discussed in Part I, Item 2 herein. The Company does not engage in speculative or leveraged transactions, nor does it hold or issue financial instruments for trading purposes. There have been no material changes to the Company’s exposure to market risks since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under the supervision and with the participation of the Company’s Chief Executive Officer and Chief Financial Officer, has evaluated the effectiveness of the Company’s disclosure controls and procedures (as defined in Rule 13a-15(e) under the Exchange Act). In designing and evaluating the disclosure controls and procedures, the Company’s management recognizes that any controls and procedures, no matter how well designed and operated, can provide only reasonable assurance of achieving the desired control objective.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that evaluation, the Chief Executive Officer and Chief Financial Officer concluded that, as of June 30, 2026, the Company’s disclosure controls and procedures were designed at a reasonable assurance level and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the Company’s internal control over financial reporting during the quarter ended June 30, 2026 that have materially affected, or are reasonably likely to materially affect, the Company’s internal control over financial reporting. The Company is currently in the process of integrating H&amp;T into its assessment of its internal control over financial reporting for the year ending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9 - Commitments and Contingencies of Notes to Consolidated Financial Statements contained in Part I, Item 1 of this report which is incorporated to this Part II, Item 1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Important risk factors that could materially affect the Company’s business, financial condition or results of operations in future periods are described in Part I, Item 1A, “Risk Factors” of the Company’s 2025 Annual Report on Form 10-K. These factors are supplemented by those discussed under “Management’s Discussion and Analysis of Financial Condition and Results of Operations” and “Governmental Regulation” in Part I, Item 2 of this quarterly report and in “Governmental Regulation” in Part I, Item 1 of the Company’s 2025 Annual Report on Form 10-K. There have been no material changes in the Company’s risk factors from those in Part I, Item 1A, “Risk Factors” of the Company’s 2025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made by the Company of shares of its common stock during the three months ended June 30, 2026 (dollars in thousands, except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4"/>
        <w:gridCol w:w="495"/>
        <w:gridCol w:w="497"/>
        <w:gridCol w:w="109"/>
        <w:gridCol w:w="109"/>
        <w:gridCol w:w="109"/>
        <w:gridCol w:w="368"/>
        <w:gridCol w:w="368"/>
        <w:gridCol w:w="281"/>
        <w:gridCol w:w="109"/>
        <w:gridCol w:w="109"/>
        <w:gridCol w:w="109"/>
        <w:gridCol w:w="257"/>
        <w:gridCol w:w="488"/>
        <w:gridCol w:w="130"/>
        <w:gridCol w:w="109"/>
        <w:gridCol w:w="109"/>
        <w:gridCol w:w="109"/>
        <w:gridCol w:w="477"/>
        <w:gridCol w:w="421"/>
        <w:gridCol w:w="423"/>
        <w:gridCol w:w="109"/>
        <w:gridCol w:w="109"/>
        <w:gridCol w:w="109"/>
        <w:gridCol w:w="109"/>
        <w:gridCol w:w="109"/>
        <w:gridCol w:w="704"/>
        <w:gridCol w:w="2646"/>
        <w:gridCol w:w="560"/>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Average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Price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Paid</w:t>
            </w:r>
          </w:p>
          <w:p>
            <w:pPr>
              <w:pStyle w:val="TableContents"/>
              <w:bidi w:val="0"/>
              <w:spacing w:lineRule="auto" w:line="240" w:before="0" w:after="0"/>
              <w:jc w:val="center"/>
              <w:rPr/>
            </w:pPr>
            <w:r>
              <w:rPr>
                <w:rFonts w:ascii="Times New Roman;serif" w:hAnsi="Times New Roman;serif"/>
                <w:b w:val="false"/>
                <w:color w:val="000000"/>
                <w:sz w:val="18"/>
              </w:rPr>
              <w:t xml:space="preserve">Per Share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Total Number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 Purchased</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As Part Of Publicly</w:t>
            </w:r>
          </w:p>
          <w:p>
            <w:pPr>
              <w:pStyle w:val="TableContents"/>
              <w:bidi w:val="0"/>
              <w:spacing w:lineRule="auto" w:line="240" w:before="0" w:after="0"/>
              <w:jc w:val="center"/>
              <w:rPr/>
            </w:pPr>
            <w:r>
              <w:rPr>
                <w:rFonts w:ascii="Times New Roman;serif" w:hAnsi="Times New Roman;serif"/>
                <w:b w:val="false"/>
                <w:color w:val="000000"/>
                <w:sz w:val="18"/>
              </w:rPr>
              <w:t>Announced Plans</w:t>
            </w:r>
            <w:r>
              <w:rPr>
                <w:color w:val="000000"/>
              </w:rPr>
              <w:t xml:space="preserve">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Approximate Dollar Value Of Shares That May Yet Be Purchased Under The Plans</w:t>
            </w:r>
            <w:r>
              <w:rPr>
                <w:color w:val="000000"/>
              </w:rPr>
              <w:t xml:space="preserve"> </w:t>
            </w:r>
            <w:r>
              <w:rPr>
                <w:rFonts w:ascii="Times New Roman;serif" w:hAnsi="Times New Roman;serif"/>
                <w:b w:val="false"/>
                <w:color w:val="000000"/>
                <w:sz w:val="12"/>
              </w:rPr>
              <w:t>(1) (2)</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April 1 through April 30,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May 1 through May 31,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June 1 through June 30,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357,594 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357,594 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23,394 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357,594 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357,594 </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 Inflation Reduction Act of 2022, which was enacted into law on August 16, 2022, imposed a nondeductible 1% excise tax on the net value of certain stock repurchases made after December 31, 2022. During the three months ended June 30, 2026, the Company reflected the applicable excise tax in treasury stock as part of the cost basis of the stock repurchased and recorded a corresponding liability for the excise taxes payable in accrued expenses and other liabilities on the consolidated balance sheet. All dollar amounts presented exclude such excise taxes.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In October 2025, the Company’s Board of Directors authorized the repurchases of an aggregate of $150.0 million of its shares of common stock. During July 2026, the Company repurchased a total of 107,000 shares of common stock at an aggregate cost of $23.4 million and an average cost per share of $218.04, which completed the share repurchase program authorized in October 2025. In July 2026, the Company’s Board of Directors authorized a common stock repurchase program for up to $150.0 million of the Company’s outstanding common stock, of which the entire $150.0 million is currently remaining.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Rule 10b5-1 Trading Plans and Other Non-Rule 10b5-1 Trading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as such terms are defined under Item 408(a) of Regulation S-K, during the three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21"/>
        <w:gridCol w:w="1390"/>
        <w:gridCol w:w="1341"/>
        <w:gridCol w:w="109"/>
        <w:gridCol w:w="109"/>
        <w:gridCol w:w="109"/>
        <w:gridCol w:w="165"/>
        <w:gridCol w:w="165"/>
        <w:gridCol w:w="166"/>
        <w:gridCol w:w="109"/>
        <w:gridCol w:w="109"/>
        <w:gridCol w:w="109"/>
        <w:gridCol w:w="245"/>
        <w:gridCol w:w="223"/>
        <w:gridCol w:w="168"/>
        <w:gridCol w:w="109"/>
        <w:gridCol w:w="109"/>
        <w:gridCol w:w="109"/>
        <w:gridCol w:w="205"/>
        <w:gridCol w:w="205"/>
        <w:gridCol w:w="206"/>
        <w:gridCol w:w="109"/>
        <w:gridCol w:w="109"/>
        <w:gridCol w:w="109"/>
        <w:gridCol w:w="206"/>
        <w:gridCol w:w="206"/>
        <w:gridCol w:w="208"/>
        <w:gridCol w:w="109"/>
        <w:gridCol w:w="109"/>
        <w:gridCol w:w="109"/>
        <w:gridCol w:w="266"/>
        <w:gridCol w:w="266"/>
        <w:gridCol w:w="38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Plan of Conversion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001-10960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Rule 2.7 Announcement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001-10960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06/23/2026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Announcement for the Revised Offer dated July 16,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001-10960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07/16/2026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Certificate of Formation of FirstCash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001-10960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Amended and Restated Bylaws of FirstCash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001-10960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Indenture, dated as of May 1, 2026, by and among FirstCash, Inc., the guarantors listed therein and BOKF, NA (including the form of Note attached as an exhibit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001-10960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06302026exhibit311.htm">
              <w:r>
                <w:rPr>
                  <w:rStyle w:val="InternetLink"/>
                  <w:rFonts w:ascii="Times New Roman;serif" w:hAnsi="Times New Roman;serif"/>
                  <w:b w:val="false"/>
                  <w:color w:val="0000FF"/>
                  <w:sz w:val="18"/>
                  <w:u w:val="single"/>
                </w:rPr>
                <w:t>Certification Pursuant to Exchange Act Section 13(a)-14(a)/15d-14(a), as Adopted Pursuant to Section 302 of the Sarbanes-Oxley Act, provided by Rick L. Wessel,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06302026exhibit312.htm">
              <w:r>
                <w:rPr>
                  <w:rStyle w:val="InternetLink"/>
                  <w:rFonts w:ascii="Times New Roman;serif" w:hAnsi="Times New Roman;serif"/>
                  <w:b w:val="false"/>
                  <w:color w:val="0000FF"/>
                  <w:sz w:val="18"/>
                  <w:u w:val="single"/>
                </w:rPr>
                <w:t>Certification Pursuant to Exchange Act Section 13(a)-14(a)/15d-14(a), as Adopted Pursuant to Section 302 of the Sarbanes-Oxley Act, provided by R. Douglas Orr,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06302026exhibit321.htm">
              <w:r>
                <w:rPr>
                  <w:rStyle w:val="InternetLink"/>
                  <w:rFonts w:ascii="Times New Roman;serif" w:hAnsi="Times New Roman;serif"/>
                  <w:b w:val="false"/>
                  <w:color w:val="0000FF"/>
                  <w:sz w:val="18"/>
                  <w:u w:val="single"/>
                </w:rPr>
                <w:t>Certification Pursuant to 18 U.S.C. Section 1350, as Adopted Pursuant to Section 906 of the Sarbanes-Oxley Act of 2002, provided by Rick L. Wessel,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06302026exhibit322.htm">
              <w:r>
                <w:rPr>
                  <w:rStyle w:val="InternetLink"/>
                  <w:rFonts w:ascii="Times New Roman;serif" w:hAnsi="Times New Roman;serif"/>
                  <w:b w:val="false"/>
                  <w:color w:val="0000FF"/>
                  <w:sz w:val="18"/>
                  <w:u w:val="single"/>
                </w:rPr>
                <w:t>Certification Pursuant to 18 U.S.C. Section 1350, as Adopted Pursuant to Section 906 of the Sarbanes-Oxley Act of 2002, provided by R. Douglas Orr,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134" w:type="dxa"/>
            <w:gridSpan w:val="18"/>
            <w:tcBorders/>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f03b1d684d46f3bbaa1e600fe40aa3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253" w:type="dxa"/>
        <w:jc w:val="left"/>
        <w:tblInd w:w="0" w:type="dxa"/>
        <w:tblLayout w:type="fixed"/>
        <w:tblCellMar>
          <w:top w:w="28" w:type="dxa"/>
          <w:left w:w="28" w:type="dxa"/>
          <w:bottom w:w="28" w:type="dxa"/>
          <w:right w:w="28" w:type="dxa"/>
        </w:tblCellMar>
      </w:tblPr>
      <w:tblGrid>
        <w:gridCol w:w="656"/>
        <w:gridCol w:w="576"/>
        <w:gridCol w:w="582"/>
        <w:gridCol w:w="1299"/>
        <w:gridCol w:w="1299"/>
        <w:gridCol w:w="184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Dated: July 27,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FIRSTCASH HOLDINGS, INC.</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RICK L. WESSEL</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Rick L. Wessel</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(On behalf of the 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 DOUGLAS ORR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 Douglas Orr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Principal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BRIAN D. HOSTETLER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Brian D. Hostetler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PURSUANT TO EXCHANGE ACT SECTION 13(a)-14(a)/15d-14(a),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Rick L. Wessel,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FirstCash Holdings, Inc.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27,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Rick L. Wessel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Rick L. Wessel</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PURSUANT TO EXCHANGE ACT SECTION 13(a)-14(a)/15d-14(a),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 Douglas Orr, certify that: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FirstCash Holdings, Inc.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27,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 Douglas Orr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 Douglas Orr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FirstCash Holdings, Inc. (the “Company”) on Form 10-Q for the quarterly period ended June 30, 2026, as filed with the Securities and Exchange Commission on the date hereof (the “Report”), I, Rick L. Wessel,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27,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Rick L. Wessel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Rick L. Wessel</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 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FirstCash Holdings, Inc. (the “Company”) on Form 10-Q for the quarterly period ended June 30, 2026, as filed with the Securities and Exchange Commission on the date hereof (the “Report”), I, R. Douglas Orr, Chief Financial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27,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 Douglas Orr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 Douglas Orr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40489/000110465926075855/tm2618096d1_ex2-1.htm" TargetMode="External"/><Relationship Id="rId4" Type="http://schemas.openxmlformats.org/officeDocument/2006/relationships/hyperlink" Target="https://www.sec.gov/Archives/edgar/data/840489/000110465926076623/tm2618455d1_ex2-1.htm" TargetMode="External"/><Relationship Id="rId5" Type="http://schemas.openxmlformats.org/officeDocument/2006/relationships/hyperlink" Target="https://www.sec.gov/Archives/edgar/data/840489/000110465926084072/tm2620535d1_ex2-1.htm" TargetMode="External"/><Relationship Id="rId6" Type="http://schemas.openxmlformats.org/officeDocument/2006/relationships/hyperlink" Target="https://www.sec.gov/Archives/edgar/data/840489/000110465926075855/tm2618096d1_ex3-1.htm" TargetMode="External"/><Relationship Id="rId7" Type="http://schemas.openxmlformats.org/officeDocument/2006/relationships/hyperlink" Target="https://www.sec.gov/Archives/edgar/data/840489/000110465926075855/tm2618096d1_ex3-2.htm" TargetMode="External"/><Relationship Id="rId8" Type="http://schemas.openxmlformats.org/officeDocument/2006/relationships/hyperlink" Target="https://www.sec.gov/Archives/edgar/data/840489/000110465926054143/tm2613265d1_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25211</Words>
  <Characters>139555</Characters>
  <CharactersWithSpaces>163234</CharactersWithSpaces>
  <Paragraphs>5147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